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</w:p>
    <w:p>
      <w:pPr>
        <w:spacing w:after="80"/>
      </w:pPr>
      <w:r>
        <w:rPr>
          <w:rFonts w:ascii="Instrument Sans" w:hAnsi="Instrument Sans"/>
          <w:b/>
          <w:color w:val="C6613F"/>
          <w:sz w:val="22"/>
        </w:rPr>
        <w:t>PROPERTY FEASIBILITY &amp; STRATEGY REPORT</w:t>
      </w:r>
    </w:p>
    <w:p>
      <w:pPr>
        <w:spacing w:before="0" w:after="120"/>
        <w:pBdr>
          <w:bottom w:val="single" w:sz="18" w:space="1" w:color="c6613f"/>
        </w:pBdr>
      </w:pPr>
    </w:p>
    <w:p>
      <w:pPr>
        <w:spacing w:after="0"/>
      </w:pPr>
      <w:r>
        <w:rPr>
          <w:rFonts w:ascii="Georgia" w:hAnsi="Georgia"/>
          <w:b/>
          <w:color w:val="141413"/>
          <w:sz w:val="56"/>
        </w:rPr>
        <w:t>Unit 25 / 316 Parramatta Road</w:t>
      </w:r>
    </w:p>
    <w:p>
      <w:pPr>
        <w:spacing w:after="280"/>
      </w:pPr>
      <w:r>
        <w:rPr>
          <w:rFonts w:ascii="Georgia" w:hAnsi="Georgia"/>
          <w:color w:val="3D3D3A"/>
          <w:sz w:val="40"/>
        </w:rPr>
        <w:t>Burwood NSW 2134</w:t>
      </w:r>
    </w:p>
    <w:p>
      <w:pPr>
        <w:spacing w:after="240" w:before="0" w:line="317" w:lineRule="auto"/>
      </w:pPr>
      <w:r>
        <w:rPr>
          <w:rFonts w:ascii="Instrument Sans" w:hAnsi="Instrument Sans"/>
          <w:color w:val="3D3D3A"/>
          <w:sz w:val="23"/>
        </w:rPr>
        <w:t>Capital-growth outlook, planning-uplift potential, development &amp; collective-sale feasibility, market impact, and tax / ownership strategy — assessed against the Burwood North Metro rezoning, the Parramatta Road Corridor strategy, and Sydney Metro West.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2448"/>
            <w:shd w:val="clear" w:color="auto" w:fill="faf9f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</w:r>
          </w:p>
        </w:tc>
        <w:tc>
          <w:tcPr>
            <w:tcW w:type="dxa" w:w="5861"/>
            <w:shd w:val="clear" w:color="auto" w:fill="faf9f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Prepared for</w:t>
            </w:r>
          </w:p>
        </w:tc>
        <w:tc>
          <w:tcPr>
            <w:tcW w:type="dxa" w:w="58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Tao Ling (owner-occupier)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Subject property</w:t>
            </w:r>
          </w:p>
        </w:tc>
        <w:tc>
          <w:tcPr>
            <w:tcW w:type="dxa" w:w="58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Unit 25 / 316 Parramatta Road, Burwood NSW 2134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Current asking price</w:t>
            </w:r>
          </w:p>
        </w:tc>
        <w:tc>
          <w:tcPr>
            <w:tcW w:type="dxa" w:w="58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$900,000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Report date</w:t>
            </w:r>
          </w:p>
        </w:tc>
        <w:tc>
          <w:tcPr>
            <w:tcW w:type="dxa" w:w="58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June 2026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Status of controls</w:t>
            </w:r>
          </w:p>
        </w:tc>
        <w:tc>
          <w:tcPr>
            <w:tcW w:type="dxa" w:w="58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Burwood North rezoning post-exhibition; finalisation expected 2026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c6613f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C6613F"/>
                <w:sz w:val="21"/>
              </w:rPr>
              <w:t>Important — please read first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This report is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general information only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. It is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not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financial product advice, tax advice, legal advice, a property valuation, or town-planning advice, and it does not take account of your full personal circumstances.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Planning controls described here were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on public exhibition and not yet finalised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at the report date. Site-specific facts (exact strata plan, lot count, site area, zoning, height/FSR, overlays, and precinct membership) are stated as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to be confirmed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and must be verified on the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NSW Planning Portal / ePlanning Spatial Viewer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and via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NSW Land Registry Services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before you rely on them.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Dollar figures in the scenario sections are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illustrative decision bands, not forecasts or valuations.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Before acting, take the questions flagged throughout to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registered tax agent, a solicitor / licensed conveyancer, a licensed financial adviser, and a local selling agent / valuer.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Executive summary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after="16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You own and live in a one-bedroom apartment at Unit 25 / 316 Parramatta Road, Burwood, now listed at </w:t>
      </w:r>
      <w:r>
        <w:rPr>
          <w:rFonts w:ascii="Instrument Sans" w:hAnsi="Instrument Sans"/>
          <w:b/>
          <w:color w:val="141413"/>
          <w:sz w:val="21"/>
        </w:rPr>
        <w:t>$900,000</w:t>
      </w:r>
      <w:r>
        <w:rPr>
          <w:rFonts w:ascii="Instrument Sans" w:hAnsi="Instrument Sans"/>
          <w:color w:val="141413"/>
          <w:sz w:val="21"/>
        </w:rPr>
        <w:t xml:space="preserve">. The question is whether to </w:t>
      </w:r>
      <w:r>
        <w:rPr>
          <w:rFonts w:ascii="Instrument Sans" w:hAnsi="Instrument Sans"/>
          <w:b/>
          <w:color w:val="141413"/>
          <w:sz w:val="21"/>
        </w:rPr>
        <w:t>sell now, hold, rent, or wait for a potential site / collective sale</w:t>
      </w:r>
      <w:r>
        <w:rPr>
          <w:rFonts w:ascii="Instrument Sans" w:hAnsi="Instrument Sans"/>
          <w:color w:val="141413"/>
          <w:sz w:val="21"/>
        </w:rPr>
        <w:t xml:space="preserve"> — against three large, genuine tailwinds converging on this exact location.</w:t>
      </w:r>
    </w:p>
    <w:p>
      <w:pPr>
        <w:spacing w:before="160" w:after="60"/>
      </w:pPr>
      <w:r>
        <w:rPr>
          <w:rFonts w:ascii="Georgia" w:hAnsi="Georgia"/>
          <w:b/>
          <w:color w:val="3D3D3A"/>
          <w:sz w:val="23"/>
        </w:rPr>
        <w:t>The three tailwinds (all verified, public)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Burwood North Metro Precinct rezoning</w:t>
      </w:r>
      <w:r>
        <w:rPr>
          <w:rFonts w:ascii="Instrument Sans" w:hAnsi="Instrument Sans"/>
          <w:color w:val="141413"/>
          <w:sz w:val="21"/>
        </w:rPr>
        <w:t xml:space="preserve"> — a NSW Government-led rezoning of the 113-hectare area within ~800 m of the future Burwood North Metro station. It was on public exhibition </w:t>
      </w:r>
      <w:r>
        <w:rPr>
          <w:rFonts w:ascii="Instrument Sans" w:hAnsi="Instrument Sans"/>
          <w:b/>
          <w:color w:val="141413"/>
          <w:sz w:val="21"/>
        </w:rPr>
        <w:t>10 March – 10 April 2026</w:t>
      </w:r>
      <w:r>
        <w:rPr>
          <w:rFonts w:ascii="Instrument Sans" w:hAnsi="Instrument Sans"/>
          <w:color w:val="141413"/>
          <w:sz w:val="21"/>
        </w:rPr>
        <w:t xml:space="preserve">, proposes building heights of </w:t>
      </w:r>
      <w:r>
        <w:rPr>
          <w:rFonts w:ascii="Instrument Sans" w:hAnsi="Instrument Sans"/>
          <w:b/>
          <w:color w:val="141413"/>
          <w:sz w:val="21"/>
        </w:rPr>
        <w:t>8 to 42 storeys (≈28–140 m)</w:t>
      </w:r>
      <w:r>
        <w:rPr>
          <w:rFonts w:ascii="Instrument Sans" w:hAnsi="Instrument Sans"/>
          <w:color w:val="141413"/>
          <w:sz w:val="21"/>
        </w:rPr>
        <w:t xml:space="preserve">, around </w:t>
      </w:r>
      <w:r>
        <w:rPr>
          <w:rFonts w:ascii="Instrument Sans" w:hAnsi="Instrument Sans"/>
          <w:b/>
          <w:color w:val="141413"/>
          <w:sz w:val="21"/>
        </w:rPr>
        <w:t>18,300 new homes</w:t>
      </w:r>
      <w:r>
        <w:rPr>
          <w:rFonts w:ascii="Instrument Sans" w:hAnsi="Instrument Sans"/>
          <w:color w:val="141413"/>
          <w:sz w:val="21"/>
        </w:rPr>
        <w:t xml:space="preserve">, and </w:t>
      </w:r>
      <w:r>
        <w:rPr>
          <w:rFonts w:ascii="Instrument Sans" w:hAnsi="Instrument Sans"/>
          <w:b/>
          <w:color w:val="141413"/>
          <w:sz w:val="21"/>
        </w:rPr>
        <w:t>5–10% affordable housing in perpetuity</w:t>
      </w:r>
      <w:r>
        <w:rPr>
          <w:rFonts w:ascii="Instrument Sans" w:hAnsi="Instrument Sans"/>
          <w:color w:val="141413"/>
          <w:sz w:val="21"/>
        </w:rPr>
        <w:t xml:space="preserve">. Finalisation is </w:t>
      </w:r>
      <w:r>
        <w:rPr>
          <w:rFonts w:ascii="Instrument Sans" w:hAnsi="Instrument Sans"/>
          <w:b/>
          <w:color w:val="141413"/>
          <w:sz w:val="21"/>
        </w:rPr>
        <w:t>expected in 2026</w:t>
      </w:r>
      <w:r>
        <w:rPr>
          <w:rFonts w:ascii="Instrument Sans" w:hAnsi="Instrument Sans"/>
          <w:color w:val="141413"/>
          <w:sz w:val="21"/>
        </w:rPr>
        <w:t>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Sydney Metro West</w:t>
      </w:r>
      <w:r>
        <w:rPr>
          <w:rFonts w:ascii="Instrument Sans" w:hAnsi="Instrument Sans"/>
          <w:color w:val="141413"/>
          <w:sz w:val="21"/>
        </w:rPr>
        <w:t xml:space="preserve"> — a new underground rail line targeting </w:t>
      </w:r>
      <w:r>
        <w:rPr>
          <w:rFonts w:ascii="Instrument Sans" w:hAnsi="Instrument Sans"/>
          <w:b/>
          <w:color w:val="141413"/>
          <w:sz w:val="21"/>
        </w:rPr>
        <w:t>2032</w:t>
      </w:r>
      <w:r>
        <w:rPr>
          <w:rFonts w:ascii="Instrument Sans" w:hAnsi="Instrument Sans"/>
          <w:color w:val="141413"/>
          <w:sz w:val="21"/>
        </w:rPr>
        <w:t xml:space="preserve">, with a confirmed station at </w:t>
      </w:r>
      <w:r>
        <w:rPr>
          <w:rFonts w:ascii="Instrument Sans" w:hAnsi="Instrument Sans"/>
          <w:b/>
          <w:color w:val="141413"/>
          <w:sz w:val="21"/>
        </w:rPr>
        <w:t>Burwood North</w:t>
      </w:r>
      <w:r>
        <w:rPr>
          <w:rFonts w:ascii="Instrument Sans" w:hAnsi="Instrument Sans"/>
          <w:color w:val="141413"/>
          <w:sz w:val="21"/>
        </w:rPr>
        <w:t>. This is the single biggest driver of long-term land value in the precinct.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Parramatta Road Corridor Urban Transformation Strategy (PRCUTS)</w:t>
      </w:r>
      <w:r>
        <w:rPr>
          <w:rFonts w:ascii="Instrument Sans" w:hAnsi="Instrument Sans"/>
          <w:color w:val="141413"/>
          <w:sz w:val="21"/>
        </w:rPr>
        <w:t xml:space="preserve"> — the 30-year state strategy whose </w:t>
      </w:r>
      <w:r>
        <w:rPr>
          <w:rFonts w:ascii="Instrument Sans" w:hAnsi="Instrument Sans"/>
          <w:b/>
          <w:color w:val="141413"/>
          <w:sz w:val="21"/>
        </w:rPr>
        <w:t>Burwood–Concord precinct</w:t>
      </w:r>
      <w:r>
        <w:rPr>
          <w:rFonts w:ascii="Instrument Sans" w:hAnsi="Instrument Sans"/>
          <w:color w:val="141413"/>
          <w:sz w:val="21"/>
        </w:rPr>
        <w:t xml:space="preserve"> sits along your road frontage, envisaging large-scale renewal (Stage 1 controls already in force since December 2022).</w:t>
      </w:r>
    </w:p>
    <w:p>
      <w:pPr>
        <w:spacing w:before="160" w:after="60"/>
      </w:pPr>
      <w:r>
        <w:rPr>
          <w:rFonts w:ascii="Georgia" w:hAnsi="Georgia"/>
          <w:b/>
          <w:color w:val="3D3D3A"/>
          <w:sz w:val="23"/>
        </w:rPr>
        <w:t>What it means for you — the short version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Your apartment sits in the right place at the right time.</w:t>
      </w:r>
      <w:r>
        <w:rPr>
          <w:rFonts w:ascii="Instrument Sans" w:hAnsi="Instrument Sans"/>
          <w:color w:val="141413"/>
          <w:sz w:val="21"/>
        </w:rPr>
        <w:t xml:space="preserve"> A well-located, modern 1-bedroom unit a short walk from a future Metro station, inside a precinct adding ~18,300 homes and a new town centre, has a genuine </w:t>
      </w:r>
      <w:r>
        <w:rPr>
          <w:rFonts w:ascii="Instrument Sans" w:hAnsi="Instrument Sans"/>
          <w:b/>
          <w:color w:val="141413"/>
          <w:sz w:val="21"/>
        </w:rPr>
        <w:t>amenity-driven growth</w:t>
      </w:r>
      <w:r>
        <w:rPr>
          <w:rFonts w:ascii="Instrument Sans" w:hAnsi="Instrument Sans"/>
          <w:color w:val="141413"/>
          <w:sz w:val="21"/>
        </w:rPr>
        <w:t xml:space="preserve"> story — that is the core of the case here.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 development / collective-sale premium is a long-dated tail, not a near-term play.</w:t>
      </w:r>
      <w:r>
        <w:rPr>
          <w:rFonts w:ascii="Instrument Sans" w:hAnsi="Instrument Sans"/>
          <w:color w:val="141413"/>
          <w:sz w:val="21"/>
        </w:rPr>
        <w:t xml:space="preserve"> Your block (</w:t>
      </w:r>
      <w:r>
        <w:rPr>
          <w:rFonts w:ascii="Instrument Sans" w:hAnsi="Instrument Sans"/>
          <w:b/>
          <w:color w:val="141413"/>
          <w:sz w:val="21"/>
        </w:rPr>
        <w:t>'SOL Apartments', a modern ~54-unit complex</w:t>
      </w:r>
      <w:r>
        <w:rPr>
          <w:rFonts w:ascii="Instrument Sans" w:hAnsi="Instrument Sans"/>
          <w:color w:val="141413"/>
          <w:sz w:val="21"/>
        </w:rPr>
        <w:t xml:space="preserve">) is </w:t>
      </w:r>
      <w:r>
        <w:rPr>
          <w:rFonts w:ascii="Instrument Sans" w:hAnsi="Instrument Sans"/>
          <w:b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an old walk-up that developers rush to assemble — new buildings are rarely demolished. A site sale would also need </w:t>
      </w:r>
      <w:r>
        <w:rPr>
          <w:rFonts w:ascii="Instrument Sans" w:hAnsi="Instrument Sans"/>
          <w:b/>
          <w:color w:val="141413"/>
          <w:sz w:val="21"/>
        </w:rPr>
        <w:t>75% of owners</w:t>
      </w:r>
      <w:r>
        <w:rPr>
          <w:rFonts w:ascii="Instrument Sans" w:hAnsi="Instrument Sans"/>
          <w:color w:val="141413"/>
          <w:sz w:val="21"/>
        </w:rPr>
        <w:t xml:space="preserve"> to agree and a </w:t>
      </w:r>
      <w:r>
        <w:rPr>
          <w:rFonts w:ascii="Instrument Sans" w:hAnsi="Instrument Sans"/>
          <w:b/>
          <w:color w:val="141413"/>
          <w:sz w:val="21"/>
        </w:rPr>
        <w:t>Land and Environment Court</w:t>
      </w:r>
      <w:r>
        <w:rPr>
          <w:rFonts w:ascii="Instrument Sans" w:hAnsi="Instrument Sans"/>
          <w:color w:val="141413"/>
          <w:sz w:val="21"/>
        </w:rPr>
        <w:t xml:space="preserve"> order. Treat it as </w:t>
      </w:r>
      <w:r>
        <w:rPr>
          <w:rFonts w:ascii="Instrument Sans" w:hAnsi="Instrument Sans"/>
          <w:b/>
          <w:color w:val="141413"/>
          <w:sz w:val="21"/>
        </w:rPr>
        <w:t>remote optionality, not a plan.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The main-residence CGT exemption is your biggest financial lever.</w:t>
      </w:r>
      <w:r>
        <w:rPr>
          <w:rFonts w:ascii="Instrument Sans" w:hAnsi="Instrument Sans"/>
          <w:color w:val="141413"/>
          <w:sz w:val="21"/>
        </w:rPr>
        <w:t xml:space="preserve"> Because you have lived in the apartment, a sale today may be </w:t>
      </w:r>
      <w:r>
        <w:rPr>
          <w:rFonts w:ascii="Instrument Sans" w:hAnsi="Instrument Sans"/>
          <w:b/>
          <w:color w:val="141413"/>
          <w:sz w:val="21"/>
        </w:rPr>
        <w:t>fully or largely CGT-free</w:t>
      </w:r>
      <w:r>
        <w:rPr>
          <w:rFonts w:ascii="Instrument Sans" w:hAnsi="Instrument Sans"/>
          <w:color w:val="141413"/>
          <w:sz w:val="21"/>
        </w:rPr>
        <w:t xml:space="preserve">. The longer you rent it out, the more that exemption can erode. This timing question is worth a </w:t>
      </w:r>
      <w:r>
        <w:rPr>
          <w:rFonts w:ascii="Instrument Sans" w:hAnsi="Instrument Sans"/>
          <w:b/>
          <w:color w:val="141413"/>
          <w:sz w:val="21"/>
        </w:rPr>
        <w:t>paid hour with a registered tax agent</w:t>
      </w:r>
      <w:r>
        <w:rPr>
          <w:rFonts w:ascii="Instrument Sans" w:hAnsi="Instrument Sans"/>
          <w:color w:val="141413"/>
          <w:sz w:val="21"/>
        </w:rPr>
        <w:t xml:space="preserve"> before any decision.</w:t>
      </w:r>
    </w:p>
    <w:p>
      <w:pPr>
        <w:spacing w:after="140" w:before="0" w:line="317" w:lineRule="auto"/>
      </w:pPr>
    </w:p>
    <w:p>
      <w:pPr>
        <w:spacing w:before="8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76088" cy="28778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scenario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8778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Instrument Sans" w:hAnsi="Instrument Sans"/>
          <w:i/>
          <w:color w:val="5E5D59"/>
          <w:sz w:val="17"/>
        </w:rPr>
        <w:t>Illustrative value scenarios — bands frame decisions; they are not forecasts or valuations.</w:t>
      </w:r>
    </w:p>
    <w:p>
      <w:pPr>
        <w:spacing w:before="160" w:after="60"/>
      </w:pPr>
      <w:r>
        <w:rPr>
          <w:rFonts w:ascii="Georgia" w:hAnsi="Georgia"/>
          <w:b/>
          <w:color w:val="3D3D3A"/>
          <w:sz w:val="23"/>
        </w:rPr>
        <w:t>Bottom line by scenario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3600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If your priority is…</w:t>
            </w:r>
          </w:p>
        </w:tc>
        <w:tc>
          <w:tcPr>
            <w:tcW w:type="dxa" w:w="4709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Then the lead action is…</w:t>
            </w:r>
          </w:p>
        </w:tc>
      </w:tr>
      <w:tr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Certainty &amp; a clean CGT outcome (Conservative)</w:t>
            </w:r>
          </w:p>
        </w:tc>
        <w:tc>
          <w:tcPr>
            <w:tcW w:type="dxa" w:w="470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Confirm the main-residence exemption with a tax agent; sell at or near the $900k mark while it is CGT-advantaged. Don't bank on uplift you can't control.</w:t>
            </w:r>
          </w:p>
        </w:tc>
      </w:tr>
      <w:tr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Maximising long-run value (Growth)</w:t>
            </w:r>
          </w:p>
        </w:tc>
        <w:tc>
          <w:tcPr>
            <w:tcW w:type="dxa" w:w="470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Hold and rent within the CGT 6-year absence rule; re-test the market as the rezoning finalises (2026) and again as Metro West nears (2030–32).</w:t>
            </w:r>
          </w:p>
        </w:tc>
      </w:tr>
      <w:tr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 long-shot development premium (Opportunistic)</w:t>
            </w:r>
          </w:p>
        </w:tc>
        <w:tc>
          <w:tcPr>
            <w:tcW w:type="dxa" w:w="470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Because the building is modern, a site sale is a long-dated tail, not a near-term play. Stay reachable to site-assembly interest, but build no plan around it.</w:t>
            </w:r>
          </w:p>
        </w:tc>
      </w:tr>
    </w:tbl>
    <w:p>
      <w:pPr>
        <w:spacing w:after="40"/>
      </w:pPr>
    </w:p>
    <w:p>
      <w:pPr>
        <w:spacing w:after="140" w:before="40" w:line="317" w:lineRule="auto"/>
      </w:pPr>
      <w:r>
        <w:rPr>
          <w:rFonts w:ascii="Instrument Sans" w:hAnsi="Instrument Sans"/>
          <w:color w:val="141413"/>
          <w:sz w:val="21"/>
        </w:rPr>
        <w:t xml:space="preserve">Each scenario, with trigger points and the specific professional advice to obtain, is set out in </w:t>
      </w:r>
      <w:r>
        <w:rPr>
          <w:rFonts w:ascii="Instrument Sans" w:hAnsi="Instrument Sans"/>
          <w:b/>
          <w:color w:val="141413"/>
          <w:sz w:val="21"/>
        </w:rPr>
        <w:t>Section F</w:t>
      </w:r>
      <w:r>
        <w:rPr>
          <w:rFonts w:ascii="Instrument Sans" w:hAnsi="Instrument Sans"/>
          <w:color w:val="141413"/>
          <w:sz w:val="21"/>
        </w:rPr>
        <w:t>.</w:t>
      </w: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A.  Property identification &amp; verification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after="16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Your enquiry gave the postcode as 2135. Public listing and building-profile records for </w:t>
      </w:r>
      <w:r>
        <w:rPr>
          <w:rFonts w:ascii="Instrument Sans" w:hAnsi="Instrument Sans"/>
          <w:b/>
          <w:color w:val="141413"/>
          <w:sz w:val="21"/>
        </w:rPr>
        <w:t>316 Parramatta Road</w:t>
      </w:r>
      <w:r>
        <w:rPr>
          <w:rFonts w:ascii="Instrument Sans" w:hAnsi="Instrument Sans"/>
          <w:color w:val="141413"/>
          <w:sz w:val="21"/>
        </w:rPr>
        <w:t xml:space="preserve"> consistently show the postcode </w:t>
      </w:r>
      <w:r>
        <w:rPr>
          <w:rFonts w:ascii="Instrument Sans" w:hAnsi="Instrument Sans"/>
          <w:b/>
          <w:color w:val="141413"/>
          <w:sz w:val="21"/>
        </w:rPr>
        <w:t>2134</w:t>
      </w:r>
      <w:r>
        <w:rPr>
          <w:rFonts w:ascii="Instrument Sans" w:hAnsi="Instrument Sans"/>
          <w:color w:val="141413"/>
          <w:sz w:val="21"/>
        </w:rPr>
        <w:t xml:space="preserve"> (Burwood), so this report uses </w:t>
      </w:r>
      <w:r>
        <w:rPr>
          <w:rFonts w:ascii="Instrument Sans" w:hAnsi="Instrument Sans"/>
          <w:b/>
          <w:color w:val="141413"/>
          <w:sz w:val="21"/>
        </w:rPr>
        <w:t>Burwood NSW 2134</w:t>
      </w:r>
      <w:r>
        <w:rPr>
          <w:rFonts w:ascii="Instrument Sans" w:hAnsi="Instrument Sans"/>
          <w:color w:val="141413"/>
          <w:sz w:val="21"/>
        </w:rPr>
        <w:t xml:space="preserve">. The building is marketed as </w:t>
      </w:r>
      <w:r>
        <w:rPr>
          <w:rFonts w:ascii="Instrument Sans" w:hAnsi="Instrument Sans"/>
          <w:b/>
          <w:color w:val="141413"/>
          <w:sz w:val="21"/>
        </w:rPr>
        <w:t>'SOL Apartments'</w:t>
      </w:r>
      <w:r>
        <w:rPr>
          <w:rFonts w:ascii="Instrument Sans" w:hAnsi="Instrument Sans"/>
          <w:color w:val="141413"/>
          <w:sz w:val="21"/>
        </w:rPr>
        <w:t xml:space="preserve"> — a </w:t>
      </w:r>
      <w:r>
        <w:rPr>
          <w:rFonts w:ascii="Instrument Sans" w:hAnsi="Instrument Sans"/>
          <w:b/>
          <w:color w:val="141413"/>
          <w:sz w:val="21"/>
        </w:rPr>
        <w:t>modern complex of about 54 units</w:t>
      </w:r>
      <w:r>
        <w:rPr>
          <w:rFonts w:ascii="Instrument Sans" w:hAnsi="Instrument Sans"/>
          <w:color w:val="141413"/>
          <w:sz w:val="21"/>
        </w:rPr>
        <w:t xml:space="preserve"> described as brand-new luxury apartments. That the building is </w:t>
      </w:r>
      <w:r>
        <w:rPr>
          <w:rFonts w:ascii="Instrument Sans" w:hAnsi="Instrument Sans"/>
          <w:b/>
          <w:color w:val="141413"/>
          <w:sz w:val="21"/>
        </w:rPr>
        <w:t>modern, not an old walk-up</w:t>
      </w:r>
      <w:r>
        <w:rPr>
          <w:rFonts w:ascii="Instrument Sans" w:hAnsi="Instrument Sans"/>
          <w:color w:val="141413"/>
          <w:sz w:val="21"/>
        </w:rPr>
        <w:t>, is an important fact for Section C. Please confirm the details below on a rates notice and your strata records.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What is verified vs. what you must confirm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304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Attribute</w:t>
            </w:r>
          </w:p>
        </w:tc>
        <w:tc>
          <w:tcPr>
            <w:tcW w:type="dxa" w:w="3888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Position in this report</w:t>
            </w:r>
          </w:p>
        </w:tc>
        <w:tc>
          <w:tcPr>
            <w:tcW w:type="dxa" w:w="2117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How to confirm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Street address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Unit 25 / 316 Parramatta Road, Burwood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Rates notice / strata roll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Postcode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2134 (not 2135)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Australia Post / rates notice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Building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'SOL Apartments' — modern luxury complex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Strata records / marketing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Building age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Modern / recently built (not an old block)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Strata roll / occupation certificate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Local government area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Burwood Council (State precinct straddles Burwood + City of Canada Bay)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ePlanning Spatial Viewer (LGA layer)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Strata plan (SP) number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To be confirmed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NSW Land Registry Services title search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Number of lots in scheme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≈54 (Domain building profile) — confirm exactly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Strata roll / strata manager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Site area &amp; frontage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To be confirmed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Title / deposited plan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Current zoning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To be confirmed (Parramatta Rd frontage — likely a centre/mixed-use or enterprise-corridor zone under Burwood LEP 2012)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ePlanning Spatial Viewer (Land Zoning)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Height / FSR controls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To be confirmed for this lot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Spatial Viewer (HOB + FSR layers)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Overlays (heritage, flood, road-widening, acquisition)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To be confirmed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Spatial Viewer + Section 10.7 planning certificate</w:t>
            </w:r>
          </w:p>
        </w:tc>
      </w:tr>
      <w:tr>
        <w:tc>
          <w:tcPr>
            <w:tcW w:type="dxa" w:w="230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Precinct membership</w:t>
            </w:r>
          </w:p>
        </w:tc>
        <w:tc>
          <w:tcPr>
            <w:tcW w:type="dxa" w:w="388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On the Parramatta Rd frontage near the station — confirm side &amp; boundary</w:t>
            </w:r>
          </w:p>
        </w:tc>
        <w:tc>
          <w:tcPr>
            <w:tcW w:type="dxa" w:w="211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Burwood North exhibition maps / Spatial Viewer</w:t>
            </w:r>
          </w:p>
        </w:tc>
      </w:tr>
    </w:tbl>
    <w:p>
      <w:pPr>
        <w:spacing w:after="40"/>
      </w:pPr>
    </w:p>
    <w:p>
      <w:pPr>
        <w:spacing w:after="140" w:before="80" w:line="317" w:lineRule="auto"/>
      </w:pPr>
      <w:r>
        <w:rPr>
          <w:rFonts w:ascii="Instrument Sans" w:hAnsi="Instrument Sans"/>
          <w:b/>
          <w:color w:val="141413"/>
          <w:sz w:val="21"/>
        </w:rPr>
        <w:t>Why the LGA and precinct-boundary checks matter.</w:t>
      </w:r>
      <w:r>
        <w:rPr>
          <w:rFonts w:ascii="Instrument Sans" w:hAnsi="Instrument Sans"/>
          <w:color w:val="141413"/>
          <w:sz w:val="21"/>
        </w:rPr>
        <w:t xml:space="preserve"> The future </w:t>
      </w:r>
      <w:r>
        <w:rPr>
          <w:rFonts w:ascii="Instrument Sans" w:hAnsi="Instrument Sans"/>
          <w:b/>
          <w:color w:val="141413"/>
          <w:sz w:val="21"/>
        </w:rPr>
        <w:t>Burwood North Metro station sits at the corner of Burwood Road and Parramatta Road</w:t>
      </w:r>
      <w:r>
        <w:rPr>
          <w:rFonts w:ascii="Instrument Sans" w:hAnsi="Instrument Sans"/>
          <w:color w:val="141413"/>
          <w:sz w:val="21"/>
        </w:rPr>
        <w:t xml:space="preserve">, and the rezoning amends </w:t>
      </w:r>
      <w:r>
        <w:rPr>
          <w:rFonts w:ascii="Instrument Sans" w:hAnsi="Instrument Sans"/>
          <w:b/>
          <w:color w:val="141413"/>
          <w:sz w:val="21"/>
        </w:rPr>
        <w:t>both</w:t>
      </w:r>
      <w:r>
        <w:rPr>
          <w:rFonts w:ascii="Instrument Sans" w:hAnsi="Instrument Sans"/>
          <w:color w:val="141413"/>
          <w:sz w:val="21"/>
        </w:rPr>
        <w:t xml:space="preserve"> the Burwood Local Environmental Plan 2012 </w:t>
      </w:r>
      <w:r>
        <w:rPr>
          <w:rFonts w:ascii="Instrument Sans" w:hAnsi="Instrument Sans"/>
          <w:b/>
          <w:color w:val="141413"/>
          <w:sz w:val="21"/>
        </w:rPr>
        <w:t>and</w:t>
      </w:r>
      <w:r>
        <w:rPr>
          <w:rFonts w:ascii="Instrument Sans" w:hAnsi="Instrument Sans"/>
          <w:color w:val="141413"/>
          <w:sz w:val="21"/>
        </w:rPr>
        <w:t xml:space="preserve"> the Canada Bay LEP 2013, because the State-led precinct straddles the two councils along Parramatta Road. Burwood Council's own masterplan area runs </w:t>
      </w:r>
      <w:r>
        <w:rPr>
          <w:rFonts w:ascii="Instrument Sans" w:hAnsi="Instrument Sans"/>
          <w:b/>
          <w:color w:val="141413"/>
          <w:sz w:val="21"/>
        </w:rPr>
        <w:t>south</w:t>
      </w:r>
      <w:r>
        <w:rPr>
          <w:rFonts w:ascii="Instrument Sans" w:hAnsi="Instrument Sans"/>
          <w:color w:val="141413"/>
          <w:sz w:val="21"/>
        </w:rPr>
        <w:t xml:space="preserve"> of Parramatta Road (bounded by Parramatta Road to the north, Shaftesbury Road east, Park Road west, and Burwood Park to the south). A </w:t>
      </w:r>
      <w:r>
        <w:rPr>
          <w:rFonts w:ascii="Instrument Sans" w:hAnsi="Instrument Sans"/>
          <w:b/>
          <w:color w:val="141413"/>
          <w:sz w:val="21"/>
        </w:rPr>
        <w:t>Parramatta Road frontage address can fall on either side / either council</w:t>
      </w:r>
      <w:r>
        <w:rPr>
          <w:rFonts w:ascii="Instrument Sans" w:hAnsi="Instrument Sans"/>
          <w:color w:val="141413"/>
          <w:sz w:val="21"/>
        </w:rPr>
        <w:t xml:space="preserve">, so confirming which side your lot is on — and whether it is inside the exhibited boundary — is the single most valuable site fact to nail down, because it determines how much extra density your land may carry. A </w:t>
      </w:r>
      <w:r>
        <w:rPr>
          <w:rFonts w:ascii="Instrument Sans" w:hAnsi="Instrument Sans"/>
          <w:b/>
          <w:color w:val="141413"/>
          <w:sz w:val="21"/>
        </w:rPr>
        <w:t>Section 10.7 planning certificate</w:t>
      </w:r>
      <w:r>
        <w:rPr>
          <w:rFonts w:ascii="Instrument Sans" w:hAnsi="Instrument Sans"/>
          <w:color w:val="141413"/>
          <w:sz w:val="21"/>
        </w:rPr>
        <w:t xml:space="preserve"> from the relevant council and the exhibited precinct map are the authoritative sources.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Location &amp; access (to confirm by measurement)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Burwood North Metro station (future, ~2032)</w:t>
      </w:r>
      <w:r>
        <w:rPr>
          <w:rFonts w:ascii="Instrument Sans" w:hAnsi="Instrument Sans"/>
          <w:color w:val="141413"/>
          <w:sz w:val="21"/>
        </w:rPr>
        <w:t xml:space="preserve"> — the precinct is defined as the ~800 m walkable catchment around this station; a Parramatta Road address is typically well within it.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Burwood heavy-rail station &amp; Westfield Burwood</w:t>
      </w:r>
      <w:r>
        <w:rPr>
          <w:rFonts w:ascii="Instrument Sans" w:hAnsi="Instrument Sans"/>
          <w:color w:val="141413"/>
          <w:sz w:val="21"/>
        </w:rPr>
        <w:t xml:space="preserve"> — the established Burwood town centre and T-line station sit a short distance south, giving the site </w:t>
      </w:r>
      <w:r>
        <w:rPr>
          <w:rFonts w:ascii="Instrument Sans" w:hAnsi="Instrument Sans"/>
          <w:b/>
          <w:color w:val="141413"/>
          <w:sz w:val="21"/>
        </w:rPr>
        <w:t>two</w:t>
      </w:r>
      <w:r>
        <w:rPr>
          <w:rFonts w:ascii="Instrument Sans" w:hAnsi="Instrument Sans"/>
          <w:color w:val="141413"/>
          <w:sz w:val="21"/>
        </w:rPr>
        <w:t xml:space="preserve"> rail options once Metro opens.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Five Dock Metro station (future, ~2032)</w:t>
      </w:r>
      <w:r>
        <w:rPr>
          <w:rFonts w:ascii="Instrument Sans" w:hAnsi="Instrument Sans"/>
          <w:color w:val="141413"/>
          <w:sz w:val="21"/>
        </w:rPr>
        <w:t xml:space="preserve"> — the next station west, anchoring a separate Canada Bay rezoning used as a comparable in Section B.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Schools, retail and employment — Burwood is an established major centre; confirm exact walking distances for your listing and for any buyer.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788c5d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788C5D"/>
                <w:sz w:val="21"/>
              </w:rPr>
              <w:t>Take to your conveyancer / planner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Order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title search and Section 10.7(2) and (5) planning certificate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for the lot — these confirm zoning, applicable LEP, and any road-widening / acquisition or heritage affectation.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Ask them to confirm in writing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whether the lot falls inside the exhibited Burwood North precinct boundary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, and the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height and FSR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proposed for it.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Confirm the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strata plan number and total lot count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— this drives the collective-sale maths in Section C.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B.  Planning-uplift potential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Burwood North Metro Precinct — what is proposed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This is a </w:t>
      </w:r>
      <w:r>
        <w:rPr>
          <w:rFonts w:ascii="Instrument Sans" w:hAnsi="Instrument Sans"/>
          <w:b/>
          <w:color w:val="141413"/>
          <w:sz w:val="21"/>
        </w:rPr>
        <w:t>State-led rezoning</w:t>
      </w:r>
      <w:r>
        <w:rPr>
          <w:rFonts w:ascii="Instrument Sans" w:hAnsi="Instrument Sans"/>
          <w:color w:val="141413"/>
          <w:sz w:val="21"/>
        </w:rPr>
        <w:t xml:space="preserve"> (run by the NSW Department of Planning, Housing and Infrastructure rather than the council), reflecting how strategically important the government considers the Metro catchment. Key parameters from the exhibited package: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160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Control</w:t>
            </w:r>
          </w:p>
        </w:tc>
        <w:tc>
          <w:tcPr>
            <w:tcW w:type="dxa" w:w="3744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Proposed (exhibited 2026)</w:t>
            </w:r>
          </w:p>
        </w:tc>
        <w:tc>
          <w:tcPr>
            <w:tcW w:type="dxa" w:w="2405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Significance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Precinct size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≈113 ha, ~800 m around Burwood North Metro station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Defines who is 'in'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Building heights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8 to 42 storeys (≈28–140 m), tiered by location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Tallest near the station; a step-change from today's low/mid-rise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New homes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≈18,300 (up ~3,000 on the 2025 figure)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Large uplift in permissible density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Affordable housing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5–10%, retained in perpetuity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 cost/levy on redevelopment feasibility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Instruments amended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Burwood LEP 2012 + Canada Bay LEP 2013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Two-council precinct</w:t>
            </w:r>
          </w:p>
        </w:tc>
      </w:tr>
      <w:tr>
        <w:tc>
          <w:tcPr>
            <w:tcW w:type="dxa" w:w="216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Status</w:t>
            </w:r>
          </w:p>
        </w:tc>
        <w:tc>
          <w:tcPr>
            <w:tcW w:type="dxa" w:w="374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Exhibited 10 Mar – 10 Apr 2026; finalisation expected 2026</w:t>
            </w:r>
          </w:p>
        </w:tc>
        <w:tc>
          <w:tcPr>
            <w:tcW w:type="dxa" w:w="2405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Submissions being considered now</w:t>
            </w:r>
          </w:p>
        </w:tc>
      </w:tr>
    </w:tbl>
    <w:p>
      <w:pPr>
        <w:spacing w:after="40"/>
      </w:pPr>
    </w:p>
    <w:p>
      <w:pPr>
        <w:spacing w:after="160" w:before="40" w:line="317" w:lineRule="auto"/>
      </w:pPr>
      <w:r>
        <w:rPr>
          <w:rFonts w:ascii="Instrument Sans" w:hAnsi="Instrument Sans"/>
          <w:b/>
          <w:color w:val="141413"/>
          <w:sz w:val="21"/>
        </w:rPr>
        <w:t>How uplift creates value.</w:t>
      </w:r>
      <w:r>
        <w:rPr>
          <w:rFonts w:ascii="Instrument Sans" w:hAnsi="Instrument Sans"/>
          <w:color w:val="141413"/>
          <w:sz w:val="21"/>
        </w:rPr>
        <w:t xml:space="preserve"> When permissible height and floor-space ratio rise, a site can lawfully hold far more saleable floor area. That extra development capacity is what a developer pays for — which is why rezoned, Metro-adjacent land can be worth materially more </w:t>
      </w:r>
      <w:r>
        <w:rPr>
          <w:rFonts w:ascii="Instrument Sans" w:hAnsi="Instrument Sans"/>
          <w:b/>
          <w:color w:val="141413"/>
          <w:sz w:val="21"/>
        </w:rPr>
        <w:t>as a development site</w:t>
      </w:r>
      <w:r>
        <w:rPr>
          <w:rFonts w:ascii="Instrument Sans" w:hAnsi="Instrument Sans"/>
          <w:color w:val="141413"/>
          <w:sz w:val="21"/>
        </w:rPr>
        <w:t xml:space="preserve"> than as the sum of its existing apartments. The catch is that the uplift has to actually apply </w:t>
      </w:r>
      <w:r>
        <w:rPr>
          <w:rFonts w:ascii="Instrument Sans" w:hAnsi="Instrument Sans"/>
          <w:b/>
          <w:color w:val="141413"/>
          <w:sz w:val="21"/>
        </w:rPr>
        <w:t>to your lot</w:t>
      </w:r>
      <w:r>
        <w:rPr>
          <w:rFonts w:ascii="Instrument Sans" w:hAnsi="Instrument Sans"/>
          <w:color w:val="141413"/>
          <w:sz w:val="21"/>
        </w:rPr>
        <w:t>, and the numbers have to stack up for a developer (see Section C).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How likely is the uplift?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Direction of travel is strong.</w:t>
      </w:r>
      <w:r>
        <w:rPr>
          <w:rFonts w:ascii="Instrument Sans" w:hAnsi="Instrument Sans"/>
          <w:color w:val="141413"/>
          <w:sz w:val="21"/>
        </w:rPr>
        <w:t xml:space="preserve"> The rezoning is State-led, already exhibited, tied to a funded Metro station, and reinforced by the separate PRCUTS corridor strategy. Government messaging frames it as central to Sydney's housing supply.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But it is not yet law.</w:t>
      </w:r>
      <w:r>
        <w:rPr>
          <w:rFonts w:ascii="Instrument Sans" w:hAnsi="Instrument Sans"/>
          <w:color w:val="141413"/>
          <w:sz w:val="21"/>
        </w:rPr>
        <w:t xml:space="preserve"> Until the amended LEPs are made, heights and FSR can change at finalisation in response to submissions. Treat current numbers as </w:t>
      </w:r>
      <w:r>
        <w:rPr>
          <w:rFonts w:ascii="Instrument Sans" w:hAnsi="Instrument Sans"/>
          <w:b/>
          <w:color w:val="141413"/>
          <w:sz w:val="21"/>
        </w:rPr>
        <w:t>strong indicative</w:t>
      </w:r>
      <w:r>
        <w:rPr>
          <w:rFonts w:ascii="Instrument Sans" w:hAnsi="Instrument Sans"/>
          <w:color w:val="141413"/>
          <w:sz w:val="21"/>
        </w:rPr>
        <w:t>, not guaranteed.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Site-specific risk remains.</w:t>
      </w:r>
      <w:r>
        <w:rPr>
          <w:rFonts w:ascii="Instrument Sans" w:hAnsi="Instrument Sans"/>
          <w:color w:val="141413"/>
          <w:sz w:val="21"/>
        </w:rPr>
        <w:t xml:space="preserve"> Even within a precinct, individual lots get different heights/FSR, and some frontages carry setbacks, active-frontage rules, or road-widening lines that reduce developable area.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Comparator — Five Dock precinct (City of Canada Bay)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Five Dock, the next Metro West station west, is being rezoned in parallel under planning proposal </w:t>
      </w:r>
      <w:r>
        <w:rPr>
          <w:rFonts w:ascii="Instrument Sans" w:hAnsi="Instrument Sans"/>
          <w:b/>
          <w:color w:val="141413"/>
          <w:sz w:val="21"/>
        </w:rPr>
        <w:t>PP2025/0003</w:t>
      </w:r>
      <w:r>
        <w:rPr>
          <w:rFonts w:ascii="Instrument Sans" w:hAnsi="Instrument Sans"/>
          <w:color w:val="141413"/>
          <w:sz w:val="21"/>
        </w:rPr>
        <w:t xml:space="preserve"> (early 2026): an expanded </w:t>
      </w:r>
      <w:r>
        <w:rPr>
          <w:rFonts w:ascii="Instrument Sans" w:hAnsi="Instrument Sans"/>
          <w:b/>
          <w:color w:val="141413"/>
          <w:sz w:val="21"/>
        </w:rPr>
        <w:t>MU1 Mixed Use</w:t>
      </w:r>
      <w:r>
        <w:rPr>
          <w:rFonts w:ascii="Instrument Sans" w:hAnsi="Instrument Sans"/>
          <w:color w:val="141413"/>
          <w:sz w:val="21"/>
        </w:rPr>
        <w:t xml:space="preserve"> core with </w:t>
      </w:r>
      <w:r>
        <w:rPr>
          <w:rFonts w:ascii="Instrument Sans" w:hAnsi="Instrument Sans"/>
          <w:b/>
          <w:color w:val="141413"/>
          <w:sz w:val="21"/>
        </w:rPr>
        <w:t>R4 High Density Residential</w:t>
      </w:r>
      <w:r>
        <w:rPr>
          <w:rFonts w:ascii="Instrument Sans" w:hAnsi="Instrument Sans"/>
          <w:color w:val="141413"/>
          <w:sz w:val="21"/>
        </w:rPr>
        <w:t xml:space="preserve"> surrounds, with base heights in the order of </w:t>
      </w:r>
      <w:r>
        <w:rPr>
          <w:rFonts w:ascii="Instrument Sans" w:hAnsi="Instrument Sans"/>
          <w:b/>
          <w:color w:val="141413"/>
          <w:sz w:val="21"/>
        </w:rPr>
        <w:t>8.5–17 m</w:t>
      </w:r>
      <w:r>
        <w:rPr>
          <w:rFonts w:ascii="Instrument Sans" w:hAnsi="Instrument Sans"/>
          <w:color w:val="141413"/>
          <w:sz w:val="21"/>
        </w:rPr>
        <w:t xml:space="preserve"> before bonus provisions. It is a useful read-across because it shows the </w:t>
      </w:r>
      <w:r>
        <w:rPr>
          <w:rFonts w:ascii="Instrument Sans" w:hAnsi="Instrument Sans"/>
          <w:b/>
          <w:color w:val="141413"/>
          <w:sz w:val="21"/>
        </w:rPr>
        <w:t>same Metro-led uplift logic</w:t>
      </w:r>
      <w:r>
        <w:rPr>
          <w:rFonts w:ascii="Instrument Sans" w:hAnsi="Instrument Sans"/>
          <w:color w:val="141413"/>
          <w:sz w:val="21"/>
        </w:rPr>
        <w:t xml:space="preserve"> being applied one station away — but note Burwood North's exhibited heights (up to ~42 storeys) are </w:t>
      </w:r>
      <w:r>
        <w:rPr>
          <w:rFonts w:ascii="Instrument Sans" w:hAnsi="Instrument Sans"/>
          <w:b/>
          <w:color w:val="141413"/>
          <w:sz w:val="21"/>
        </w:rPr>
        <w:t>substantially greater</w:t>
      </w:r>
      <w:r>
        <w:rPr>
          <w:rFonts w:ascii="Instrument Sans" w:hAnsi="Instrument Sans"/>
          <w:color w:val="141413"/>
          <w:sz w:val="21"/>
        </w:rPr>
        <w:t xml:space="preserve">, reflecting its role as a larger town-centre precinct. The Burwood catchment therefore carries the </w:t>
      </w:r>
      <w:r>
        <w:rPr>
          <w:rFonts w:ascii="Instrument Sans" w:hAnsi="Instrument Sans"/>
          <w:b/>
          <w:color w:val="141413"/>
          <w:sz w:val="21"/>
        </w:rPr>
        <w:t>higher potential uplift</w:t>
      </w:r>
      <w:r>
        <w:rPr>
          <w:rFonts w:ascii="Instrument Sans" w:hAnsi="Instrument Sans"/>
          <w:color w:val="141413"/>
          <w:sz w:val="21"/>
        </w:rPr>
        <w:t xml:space="preserve"> of the two.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The Parramatta Road corridor (PRCUTS)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Underneath the Metro rezoning sits the longer-running </w:t>
      </w:r>
      <w:r>
        <w:rPr>
          <w:rFonts w:ascii="Instrument Sans" w:hAnsi="Instrument Sans"/>
          <w:b/>
          <w:color w:val="141413"/>
          <w:sz w:val="21"/>
        </w:rPr>
        <w:t>Parramatta Road Corridor Urban Transformation Strategy</w:t>
      </w:r>
      <w:r>
        <w:rPr>
          <w:rFonts w:ascii="Instrument Sans" w:hAnsi="Instrument Sans"/>
          <w:color w:val="141413"/>
          <w:sz w:val="21"/>
        </w:rPr>
        <w:t xml:space="preserve"> — a 30-year plan identifying eight renewal precincts, including </w:t>
      </w:r>
      <w:r>
        <w:rPr>
          <w:rFonts w:ascii="Instrument Sans" w:hAnsi="Instrument Sans"/>
          <w:b/>
          <w:color w:val="141413"/>
          <w:sz w:val="21"/>
        </w:rPr>
        <w:t>Burwood–Concord</w:t>
      </w:r>
      <w:r>
        <w:rPr>
          <w:rFonts w:ascii="Instrument Sans" w:hAnsi="Instrument Sans"/>
          <w:color w:val="141413"/>
          <w:sz w:val="21"/>
        </w:rPr>
        <w:t xml:space="preserve"> on your frontage, and envisaging up to </w:t>
      </w:r>
      <w:r>
        <w:rPr>
          <w:rFonts w:ascii="Instrument Sans" w:hAnsi="Instrument Sans"/>
          <w:b/>
          <w:color w:val="141413"/>
          <w:sz w:val="21"/>
        </w:rPr>
        <w:t>27,000 homes and 50,000 jobs</w:t>
      </w:r>
      <w:r>
        <w:rPr>
          <w:rFonts w:ascii="Instrument Sans" w:hAnsi="Instrument Sans"/>
          <w:color w:val="141413"/>
          <w:sz w:val="21"/>
        </w:rPr>
        <w:t xml:space="preserve"> corridor-wide. Stage 1 controls were </w:t>
      </w:r>
      <w:r>
        <w:rPr>
          <w:rFonts w:ascii="Instrument Sans" w:hAnsi="Instrument Sans"/>
          <w:b/>
          <w:color w:val="141413"/>
          <w:sz w:val="21"/>
        </w:rPr>
        <w:t>made into law in December 2022</w:t>
      </w:r>
      <w:r>
        <w:rPr>
          <w:rFonts w:ascii="Instrument Sans" w:hAnsi="Instrument Sans"/>
          <w:color w:val="141413"/>
          <w:sz w:val="21"/>
        </w:rPr>
        <w:t xml:space="preserve"> (DCP adopted March 2023). For you this means main-road renewal here is not a single announcement — it is a </w:t>
      </w:r>
      <w:r>
        <w:rPr>
          <w:rFonts w:ascii="Instrument Sans" w:hAnsi="Instrument Sans"/>
          <w:b/>
          <w:color w:val="141413"/>
          <w:sz w:val="21"/>
        </w:rPr>
        <w:t>layered, decade-plus government commitment</w:t>
      </w:r>
      <w:r>
        <w:rPr>
          <w:rFonts w:ascii="Instrument Sans" w:hAnsi="Instrument Sans"/>
          <w:color w:val="141413"/>
          <w:sz w:val="21"/>
        </w:rPr>
        <w:t>, which strengthens the long-term thesis even if any single step slips.</w:t>
      </w:r>
    </w:p>
    <w:p>
      <w:pPr>
        <w:spacing w:after="140" w:before="0" w:line="317" w:lineRule="auto"/>
      </w:pPr>
    </w:p>
    <w:p>
      <w:pPr>
        <w:spacing w:before="8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76088" cy="211043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timelin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21104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Instrument Sans" w:hAnsi="Instrument Sans"/>
          <w:i/>
          <w:color w:val="5E5D59"/>
          <w:sz w:val="17"/>
        </w:rPr>
        <w:t>Verified planning and Metro milestones shaping value over the next decade.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788c5d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788C5D"/>
                <w:sz w:val="21"/>
              </w:rPr>
              <w:t>Take to your town planner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Obtain the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exhibited height and FSR maps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for the precinct and confirm the figures that apply to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your lot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specifically.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Ask whether your frontage carries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road-widening, active-frontage, or setback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requirements that would reduce a developer's usable area.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Ask for a view on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finalisation timing and the risk of change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between exhibition and the made LEP.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C.  Development &amp; collective-sale potential</w:t>
      </w:r>
    </w:p>
    <w:p>
      <w:pPr>
        <w:spacing w:before="0" w:after="120"/>
        <w:pBdr>
          <w:bottom w:val="single" w:sz="14" w:space="1" w:color="c6613f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c6613f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C6613F"/>
                <w:sz w:val="21"/>
              </w:rPr>
              <w:t>Read this first — your building is modern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316 Parramatta Road ('SOL Apartments') is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modern, recently-built complex of ~54 units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, not an old walk-up.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Developers assemble and demolish *old, under-developed* buildings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— a new building that has already used much of its site's value is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rarely a near-term redevelopment target.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So while the law below makes a collective sale </w:t>
            </w:r>
            <w:r>
              <w:rPr>
                <w:rFonts w:ascii="Instrument Sans" w:hAnsi="Instrument Sans"/>
                <w:i/>
                <w:color w:val="141413"/>
                <w:sz w:val="20"/>
              </w:rPr>
              <w:t>possible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, for this building it is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long-dated tail, not a live opportunity.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The realistic upside here is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Metro-driven amenity growth of a modern apartment (hold)</w:t>
            </w:r>
            <w:r>
              <w:rPr>
                <w:rFonts w:ascii="Instrument Sans" w:hAnsi="Instrument Sans"/>
                <w:color w:val="141413"/>
                <w:sz w:val="20"/>
              </w:rPr>
              <w:t>, covered in Sections B and D.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Could a developer buy the whole site?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For a developer to redevelop your building, they generally need to acquire </w:t>
      </w:r>
      <w:r>
        <w:rPr>
          <w:rFonts w:ascii="Instrument Sans" w:hAnsi="Instrument Sans"/>
          <w:b/>
          <w:color w:val="141413"/>
          <w:sz w:val="21"/>
        </w:rPr>
        <w:t>every lot</w:t>
      </w:r>
      <w:r>
        <w:rPr>
          <w:rFonts w:ascii="Instrument Sans" w:hAnsi="Instrument Sans"/>
          <w:color w:val="141413"/>
          <w:sz w:val="21"/>
        </w:rPr>
        <w:t xml:space="preserve"> in the strata scheme (or enough of it, via the collective-sale process below). Whether they want to depends on: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Uplift</w:t>
      </w:r>
      <w:r>
        <w:rPr>
          <w:rFonts w:ascii="Instrument Sans" w:hAnsi="Instrument Sans"/>
          <w:color w:val="141413"/>
          <w:sz w:val="21"/>
        </w:rPr>
        <w:t xml:space="preserve"> — how much extra floor space the rezoning grants the site </w:t>
      </w:r>
      <w:r>
        <w:rPr>
          <w:rFonts w:ascii="Instrument Sans" w:hAnsi="Instrument Sans"/>
          <w:b/>
          <w:color w:val="141413"/>
          <w:sz w:val="21"/>
        </w:rPr>
        <w:t>beyond what is already built</w:t>
      </w:r>
      <w:r>
        <w:rPr>
          <w:rFonts w:ascii="Instrument Sans" w:hAnsi="Instrument Sans"/>
          <w:color w:val="141413"/>
          <w:sz w:val="21"/>
        </w:rPr>
        <w:t xml:space="preserve">. A modern complex has often </w:t>
      </w:r>
      <w:r>
        <w:rPr>
          <w:rFonts w:ascii="Instrument Sans" w:hAnsi="Instrument Sans"/>
          <w:i/>
          <w:color w:val="141413"/>
          <w:sz w:val="21"/>
        </w:rPr>
        <w:t>already used</w:t>
      </w:r>
      <w:r>
        <w:rPr>
          <w:rFonts w:ascii="Instrument Sans" w:hAnsi="Instrument Sans"/>
          <w:color w:val="141413"/>
          <w:sz w:val="21"/>
        </w:rPr>
        <w:t xml:space="preserve"> much of its permissible floor space, leaving less residual headroom for a developer to chase.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Building age &amp; condition</w:t>
      </w:r>
      <w:r>
        <w:rPr>
          <w:rFonts w:ascii="Instrument Sans" w:hAnsi="Instrument Sans"/>
          <w:color w:val="141413"/>
          <w:sz w:val="21"/>
        </w:rPr>
        <w:t xml:space="preserve"> — older, lower-rise blocks are far more attractive to replace than a new building. </w:t>
      </w:r>
      <w:r>
        <w:rPr>
          <w:rFonts w:ascii="Instrument Sans" w:hAnsi="Instrument Sans"/>
          <w:b/>
          <w:color w:val="141413"/>
          <w:sz w:val="21"/>
        </w:rPr>
        <w:t>This is the decisive factor against your block being a near-term target.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Site geometry &amp; amalgamation</w:t>
      </w:r>
      <w:r>
        <w:rPr>
          <w:rFonts w:ascii="Instrument Sans" w:hAnsi="Instrument Sans"/>
          <w:color w:val="141413"/>
          <w:sz w:val="21"/>
        </w:rPr>
        <w:t xml:space="preserve"> — whether the block alone is big enough, or must be combined with neighbours to make a viable tower footprint.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Numbers</w:t>
      </w:r>
      <w:r>
        <w:rPr>
          <w:rFonts w:ascii="Instrument Sans" w:hAnsi="Instrument Sans"/>
          <w:color w:val="141413"/>
          <w:sz w:val="21"/>
        </w:rPr>
        <w:t xml:space="preserve"> — land cost (what owners demand — high for new stock) versus end values, construction cost, the affordable-housing requirement, and contributions.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The NSW collective-sale (strata renewal) process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If owners want to sell as a block to capture a development premium, NSW law provides a pathway under </w:t>
      </w:r>
      <w:r>
        <w:rPr>
          <w:rFonts w:ascii="Instrument Sans" w:hAnsi="Instrument Sans"/>
          <w:b/>
          <w:color w:val="141413"/>
          <w:sz w:val="21"/>
        </w:rPr>
        <w:t>Part 10 of the Strata Schemes Development Act 2015</w:t>
      </w:r>
      <w:r>
        <w:rPr>
          <w:rFonts w:ascii="Instrument Sans" w:hAnsi="Instrument Sans"/>
          <w:color w:val="141413"/>
          <w:sz w:val="21"/>
        </w:rPr>
        <w:t xml:space="preserve"> (in force since 30 November 2016):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016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Step</w:t>
            </w:r>
          </w:p>
        </w:tc>
        <w:tc>
          <w:tcPr>
            <w:tcW w:type="dxa" w:w="3269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What happens</w:t>
            </w:r>
          </w:p>
        </w:tc>
        <w:tc>
          <w:tcPr>
            <w:tcW w:type="dxa" w:w="3024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Threshold / safeguard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1. Proposal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 strata renewal proposal (e.g. a developer offer) is given to the owners corporation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Any owner or outsider can initiate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2. Renewal committee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Owners form a committee to investigate and prepare a strata renewal plan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Owners corporation resolution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3. Plan support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Owners are asked to support the plan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At least 75% of lots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must support it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4. Court approval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If some owners dissent, the owners corporation applies to the Land and Environment Court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LEC order required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5. Court test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The Court checks the plan is fair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 xml:space="preserve">Must be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'just and equitable'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; every owner gets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at least market (compensation) value</w:t>
            </w:r>
          </w:p>
        </w:tc>
      </w:tr>
      <w:tr>
        <w:tc>
          <w:tcPr>
            <w:tcW w:type="dxa" w:w="201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6. Completion</w:t>
            </w:r>
          </w:p>
        </w:tc>
        <w:tc>
          <w:tcPr>
            <w:tcW w:type="dxa" w:w="3269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Sale/redevelopment proceeds, owners are paid out</w:t>
            </w:r>
          </w:p>
        </w:tc>
        <w:tc>
          <w:tcPr>
            <w:tcW w:type="dxa" w:w="3024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Independent valuations essential</w:t>
            </w:r>
          </w:p>
        </w:tc>
      </w:tr>
    </w:tbl>
    <w:p>
      <w:pPr>
        <w:spacing w:after="40"/>
      </w:pPr>
    </w:p>
    <w:p>
      <w:pPr>
        <w:spacing w:after="160" w:before="40" w:line="317" w:lineRule="auto"/>
      </w:pPr>
      <w:r>
        <w:rPr>
          <w:rFonts w:ascii="Instrument Sans" w:hAnsi="Instrument Sans"/>
          <w:b/>
          <w:color w:val="141413"/>
          <w:sz w:val="21"/>
        </w:rPr>
        <w:t>What this means in practice.</w:t>
      </w:r>
      <w:r>
        <w:rPr>
          <w:rFonts w:ascii="Instrument Sans" w:hAnsi="Instrument Sans"/>
          <w:color w:val="141413"/>
          <w:sz w:val="21"/>
        </w:rPr>
        <w:t xml:space="preserve"> The 75% threshold makes collective sale </w:t>
      </w:r>
      <w:r>
        <w:rPr>
          <w:rFonts w:ascii="Instrument Sans" w:hAnsi="Instrument Sans"/>
          <w:i/>
          <w:color w:val="141413"/>
          <w:sz w:val="21"/>
        </w:rPr>
        <w:t>possible</w:t>
      </w:r>
      <w:r>
        <w:rPr>
          <w:rFonts w:ascii="Instrument Sans" w:hAnsi="Instrument Sans"/>
          <w:color w:val="141413"/>
          <w:sz w:val="21"/>
        </w:rPr>
        <w:t xml:space="preserve"> without unanimous agreement, but the Court step makes it </w:t>
      </w:r>
      <w:r>
        <w:rPr>
          <w:rFonts w:ascii="Instrument Sans" w:hAnsi="Instrument Sans"/>
          <w:b/>
          <w:color w:val="141413"/>
          <w:sz w:val="21"/>
        </w:rPr>
        <w:t>slow and rigorous</w:t>
      </w:r>
      <w:r>
        <w:rPr>
          <w:rFonts w:ascii="Instrument Sans" w:hAnsi="Instrument Sans"/>
          <w:color w:val="141413"/>
          <w:sz w:val="21"/>
        </w:rPr>
        <w:t xml:space="preserve"> — these processes commonly run </w:t>
      </w:r>
      <w:r>
        <w:rPr>
          <w:rFonts w:ascii="Instrument Sans" w:hAnsi="Instrument Sans"/>
          <w:b/>
          <w:color w:val="141413"/>
          <w:sz w:val="21"/>
        </w:rPr>
        <w:t>two to four years</w:t>
      </w:r>
      <w:r>
        <w:rPr>
          <w:rFonts w:ascii="Instrument Sans" w:hAnsi="Instrument Sans"/>
          <w:color w:val="141413"/>
          <w:sz w:val="21"/>
        </w:rPr>
        <w:t xml:space="preserve"> and have succeeded even for large schemes (a 159-lot scheme was approved in 2019). The premium can be real, but it is </w:t>
      </w:r>
      <w:r>
        <w:rPr>
          <w:rFonts w:ascii="Instrument Sans" w:hAnsi="Instrument Sans"/>
          <w:b/>
          <w:color w:val="141413"/>
          <w:sz w:val="21"/>
        </w:rPr>
        <w:t>contingent and illiquid</w:t>
      </w:r>
      <w:r>
        <w:rPr>
          <w:rFonts w:ascii="Instrument Sans" w:hAnsi="Instrument Sans"/>
          <w:color w:val="141413"/>
          <w:sz w:val="21"/>
        </w:rPr>
        <w:t>: you cannot force it, time it, or rely on it for your own plans.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Your options compared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448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Path</w:t>
            </w:r>
          </w:p>
        </w:tc>
        <w:tc>
          <w:tcPr>
            <w:tcW w:type="dxa" w:w="2448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Upside</w:t>
            </w:r>
          </w:p>
        </w:tc>
        <w:tc>
          <w:tcPr>
            <w:tcW w:type="dxa" w:w="2736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Downside / risk</w:t>
            </w:r>
          </w:p>
        </w:tc>
        <w:tc>
          <w:tcPr>
            <w:tcW w:type="dxa" w:w="677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Control you have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Sell individually now</w:t>
            </w:r>
          </w:p>
        </w:tc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Liquid; clean CGT position; certainty</w:t>
            </w:r>
          </w:p>
        </w:tc>
        <w:tc>
          <w:tcPr>
            <w:tcW w:type="dxa" w:w="273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Forgo any future uplift premium</w:t>
            </w:r>
          </w:p>
        </w:tc>
        <w:tc>
          <w:tcPr>
            <w:tcW w:type="dxa" w:w="67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Full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Hold &amp; rent</w:t>
            </w:r>
          </w:p>
        </w:tc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Keep optionality; rental income; ride growth</w:t>
            </w:r>
          </w:p>
        </w:tc>
        <w:tc>
          <w:tcPr>
            <w:tcW w:type="dxa" w:w="273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Market &amp; strata risk; CGT exemption erodes over time</w:t>
            </w:r>
          </w:p>
        </w:tc>
        <w:tc>
          <w:tcPr>
            <w:tcW w:type="dxa" w:w="67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Full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Collective / site sale</w:t>
            </w:r>
          </w:p>
        </w:tc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 xml:space="preserve">Potential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premium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over individual value</w:t>
            </w:r>
          </w:p>
        </w:tc>
        <w:tc>
          <w:tcPr>
            <w:tcW w:type="dxa" w:w="273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Needs 75% + Court; 2–4 yrs; may never happen</w:t>
            </w:r>
          </w:p>
        </w:tc>
        <w:tc>
          <w:tcPr>
            <w:tcW w:type="dxa" w:w="67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Shared (low)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Option / put-and-call to a developer</w:t>
            </w:r>
          </w:p>
        </w:tc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Lock a future price; some certainty</w:t>
            </w:r>
          </w:p>
        </w:tc>
        <w:tc>
          <w:tcPr>
            <w:tcW w:type="dxa" w:w="273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Tie up the asset; complex terms</w:t>
            </w:r>
          </w:p>
        </w:tc>
        <w:tc>
          <w:tcPr>
            <w:tcW w:type="dxa" w:w="67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Moderate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Development agreement / JV</w:t>
            </w:r>
          </w:p>
        </w:tc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Share in end-development profit</w:t>
            </w:r>
          </w:p>
        </w:tc>
        <w:tc>
          <w:tcPr>
            <w:tcW w:type="dxa" w:w="273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High risk/complexity; not realistic for a single lot owner</w:t>
            </w:r>
          </w:p>
        </w:tc>
        <w:tc>
          <w:tcPr>
            <w:tcW w:type="dxa" w:w="677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Low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Timing windows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Now → finalisation (2026):</w:t>
      </w:r>
      <w:r>
        <w:rPr>
          <w:rFonts w:ascii="Instrument Sans" w:hAnsi="Instrument Sans"/>
          <w:color w:val="141413"/>
          <w:sz w:val="21"/>
        </w:rPr>
        <w:t xml:space="preserve"> speculation builds as the rezoning is made. Site-assembly interest and early developer/agent approaches can appear in this window.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Finalisation → Metro construction (2026–2030):</w:t>
      </w:r>
      <w:r>
        <w:rPr>
          <w:rFonts w:ascii="Instrument Sans" w:hAnsi="Instrument Sans"/>
          <w:color w:val="141413"/>
          <w:sz w:val="21"/>
        </w:rPr>
        <w:t xml:space="preserve"> controls are certain; feasibility sharpens; amalgamation activity typically intensifies.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Metro opening onward (2032+):</w:t>
      </w:r>
      <w:r>
        <w:rPr>
          <w:rFonts w:ascii="Instrument Sans" w:hAnsi="Instrument Sans"/>
          <w:color w:val="141413"/>
          <w:sz w:val="21"/>
        </w:rPr>
        <w:t xml:space="preserve"> maximum amenity, but also maximum new supply coming on line — good for land value, mixed for an individual 1-bed unit competing against new stock.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c6613f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C6613F"/>
                <w:sz w:val="21"/>
              </w:rPr>
              <w:t>Take to a strata-experienced solicitor + selling agent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Ask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collective-sale solicitor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to explain the Part 10 process for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your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scheme and what a fair compensation value would look like.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Ask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local agent who is active in site assembly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whether developers are already approaching your block or street, and what premium (if any) collective sales nearby have achieved.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Do not sign an option, heads of agreement, or renewal proposal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without independent legal advice — these can bind you cheaply and early.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D.  Market-impact analysis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after="16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Burwood units currently sit around a </w:t>
      </w:r>
      <w:r>
        <w:rPr>
          <w:rFonts w:ascii="Instrument Sans" w:hAnsi="Instrument Sans"/>
          <w:b/>
          <w:color w:val="141413"/>
          <w:sz w:val="21"/>
        </w:rPr>
        <w:t>median of $790k–$880k</w:t>
      </w:r>
      <w:r>
        <w:rPr>
          <w:rFonts w:ascii="Instrument Sans" w:hAnsi="Instrument Sans"/>
          <w:color w:val="141413"/>
          <w:sz w:val="21"/>
        </w:rPr>
        <w:t xml:space="preserve">, rent at roughly </w:t>
      </w:r>
      <w:r>
        <w:rPr>
          <w:rFonts w:ascii="Instrument Sans" w:hAnsi="Instrument Sans"/>
          <w:b/>
          <w:color w:val="141413"/>
          <w:sz w:val="21"/>
        </w:rPr>
        <w:t>$720–$800 per week</w:t>
      </w:r>
      <w:r>
        <w:rPr>
          <w:rFonts w:ascii="Instrument Sans" w:hAnsi="Instrument Sans"/>
          <w:color w:val="141413"/>
          <w:sz w:val="21"/>
        </w:rPr>
        <w:t xml:space="preserve">, and yield about </w:t>
      </w:r>
      <w:r>
        <w:rPr>
          <w:rFonts w:ascii="Instrument Sans" w:hAnsi="Instrument Sans"/>
          <w:b/>
          <w:color w:val="141413"/>
          <w:sz w:val="21"/>
        </w:rPr>
        <w:t>4.7%</w:t>
      </w:r>
      <w:r>
        <w:rPr>
          <w:rFonts w:ascii="Instrument Sans" w:hAnsi="Instrument Sans"/>
          <w:color w:val="141413"/>
          <w:sz w:val="21"/>
        </w:rPr>
        <w:t xml:space="preserve"> (early-2026 market data; confirm with a local agent for your exact unit type). Your </w:t>
      </w:r>
      <w:r>
        <w:rPr>
          <w:rFonts w:ascii="Instrument Sans" w:hAnsi="Instrument Sans"/>
          <w:b/>
          <w:color w:val="141413"/>
          <w:sz w:val="21"/>
        </w:rPr>
        <w:t>$900k</w:t>
      </w:r>
      <w:r>
        <w:rPr>
          <w:rFonts w:ascii="Instrument Sans" w:hAnsi="Instrument Sans"/>
          <w:color w:val="141413"/>
          <w:sz w:val="21"/>
        </w:rPr>
        <w:t xml:space="preserve"> asking price is therefore </w:t>
      </w:r>
      <w:r>
        <w:rPr>
          <w:rFonts w:ascii="Instrument Sans" w:hAnsi="Instrument Sans"/>
          <w:b/>
          <w:color w:val="141413"/>
          <w:sz w:val="21"/>
        </w:rPr>
        <w:t>at the upper end</w:t>
      </w:r>
      <w:r>
        <w:rPr>
          <w:rFonts w:ascii="Instrument Sans" w:hAnsi="Instrument Sans"/>
          <w:color w:val="141413"/>
          <w:sz w:val="21"/>
        </w:rPr>
        <w:t xml:space="preserve"> of the unit market — consistent with a renovated/well-located 1-bed, and with buyers already pricing in some Metro/rezoning optimism.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Short term (0–3 years)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Catalyst:</w:t>
      </w:r>
      <w:r>
        <w:rPr>
          <w:rFonts w:ascii="Instrument Sans" w:hAnsi="Instrument Sans"/>
          <w:color w:val="141413"/>
          <w:sz w:val="21"/>
        </w:rPr>
        <w:t xml:space="preserve"> rezoning finalisation (2026) and continued Metro West works.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Likely effect:</w:t>
      </w:r>
      <w:r>
        <w:rPr>
          <w:rFonts w:ascii="Instrument Sans" w:hAnsi="Instrument Sans"/>
          <w:color w:val="141413"/>
          <w:sz w:val="21"/>
        </w:rPr>
        <w:t xml:space="preserve"> supportive sentiment and headline attention; values for well-located stock firm to modestly higher. </w:t>
      </w:r>
      <w:r>
        <w:rPr>
          <w:rFonts w:ascii="Instrument Sans" w:hAnsi="Instrument Sans"/>
          <w:b/>
          <w:color w:val="141413"/>
          <w:sz w:val="21"/>
        </w:rPr>
        <w:t>But</w:t>
      </w:r>
      <w:r>
        <w:rPr>
          <w:rFonts w:ascii="Instrument Sans" w:hAnsi="Instrument Sans"/>
          <w:color w:val="141413"/>
          <w:sz w:val="21"/>
        </w:rPr>
        <w:t xml:space="preserve"> main-road 1-bed apartments can lag in softer markets, and rising interest rates or new-supply announcements can offset rezoning optimism.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Watch:</w:t>
      </w:r>
      <w:r>
        <w:rPr>
          <w:rFonts w:ascii="Instrument Sans" w:hAnsi="Instrument Sans"/>
          <w:color w:val="141413"/>
          <w:sz w:val="21"/>
        </w:rPr>
        <w:t xml:space="preserve"> the final heights/FSR, any first developer site-assembly in your street, and unit days-on-market in Burwood.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Medium term (3–7 years)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Catalyst:</w:t>
      </w:r>
      <w:r>
        <w:rPr>
          <w:rFonts w:ascii="Instrument Sans" w:hAnsi="Instrument Sans"/>
          <w:color w:val="141413"/>
          <w:sz w:val="21"/>
        </w:rPr>
        <w:t xml:space="preserve"> Metro West construction visibly progressing; council masterplans and DCPs landing; first redevelopment sites being assembled.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Likely effect:</w:t>
      </w:r>
      <w:r>
        <w:rPr>
          <w:rFonts w:ascii="Instrument Sans" w:hAnsi="Instrument Sans"/>
          <w:color w:val="141413"/>
          <w:sz w:val="21"/>
        </w:rPr>
        <w:t xml:space="preserve"> this is often where </w:t>
      </w:r>
      <w:r>
        <w:rPr>
          <w:rFonts w:ascii="Instrument Sans" w:hAnsi="Instrument Sans"/>
          <w:b/>
          <w:color w:val="141413"/>
          <w:sz w:val="21"/>
        </w:rPr>
        <w:t>land value</w:t>
      </w:r>
      <w:r>
        <w:rPr>
          <w:rFonts w:ascii="Instrument Sans" w:hAnsi="Instrument Sans"/>
          <w:color w:val="141413"/>
          <w:sz w:val="21"/>
        </w:rPr>
        <w:t xml:space="preserve"> (development potential) starts to out-perform </w:t>
      </w:r>
      <w:r>
        <w:rPr>
          <w:rFonts w:ascii="Instrument Sans" w:hAnsi="Instrument Sans"/>
          <w:b/>
          <w:color w:val="141413"/>
          <w:sz w:val="21"/>
        </w:rPr>
        <w:t>dwelling value</w:t>
      </w:r>
      <w:r>
        <w:rPr>
          <w:rFonts w:ascii="Instrument Sans" w:hAnsi="Instrument Sans"/>
          <w:color w:val="141413"/>
          <w:sz w:val="21"/>
        </w:rPr>
        <w:t xml:space="preserve"> (the existing flat). If your block becomes an assembly target, the </w:t>
      </w:r>
      <w:r>
        <w:rPr>
          <w:rFonts w:ascii="Instrument Sans" w:hAnsi="Instrument Sans"/>
          <w:b/>
          <w:color w:val="141413"/>
          <w:sz w:val="21"/>
        </w:rPr>
        <w:t>site-sale optionality</w:t>
      </w:r>
      <w:r>
        <w:rPr>
          <w:rFonts w:ascii="Instrument Sans" w:hAnsi="Instrument Sans"/>
          <w:color w:val="141413"/>
          <w:sz w:val="21"/>
        </w:rPr>
        <w:t xml:space="preserve"> is most live in this window.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Watch:</w:t>
      </w:r>
      <w:r>
        <w:rPr>
          <w:rFonts w:ascii="Instrument Sans" w:hAnsi="Instrument Sans"/>
          <w:color w:val="141413"/>
          <w:sz w:val="21"/>
        </w:rPr>
        <w:t xml:space="preserve"> construction disruption along Parramatta Road can temporarily dampen rents/amenity even as long-term value builds.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Long term (7–15 years)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Catalyst:</w:t>
      </w:r>
      <w:r>
        <w:rPr>
          <w:rFonts w:ascii="Instrument Sans" w:hAnsi="Instrument Sans"/>
          <w:color w:val="141413"/>
          <w:sz w:val="21"/>
        </w:rPr>
        <w:t xml:space="preserve"> Sydney Metro West </w:t>
      </w:r>
      <w:r>
        <w:rPr>
          <w:rFonts w:ascii="Instrument Sans" w:hAnsi="Instrument Sans"/>
          <w:b/>
          <w:color w:val="141413"/>
          <w:sz w:val="21"/>
        </w:rPr>
        <w:t>opens (~2032)</w:t>
      </w:r>
      <w:r>
        <w:rPr>
          <w:rFonts w:ascii="Instrument Sans" w:hAnsi="Instrument Sans"/>
          <w:color w:val="141413"/>
          <w:sz w:val="21"/>
        </w:rPr>
        <w:t>; precinct build-out; two rail options at Burwood.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Likely effect:</w:t>
      </w:r>
      <w:r>
        <w:rPr>
          <w:rFonts w:ascii="Instrument Sans" w:hAnsi="Instrument Sans"/>
          <w:color w:val="141413"/>
          <w:sz w:val="21"/>
        </w:rPr>
        <w:t xml:space="preserve"> the strongest structural case for capital growth — genuine Metro-led, town-centre uplift. </w:t>
      </w:r>
      <w:r>
        <w:rPr>
          <w:rFonts w:ascii="Instrument Sans" w:hAnsi="Instrument Sans"/>
          <w:b/>
          <w:color w:val="141413"/>
          <w:sz w:val="21"/>
        </w:rPr>
        <w:t>Counterweight:</w:t>
      </w:r>
      <w:r>
        <w:rPr>
          <w:rFonts w:ascii="Instrument Sans" w:hAnsi="Instrument Sans"/>
          <w:color w:val="141413"/>
          <w:sz w:val="21"/>
        </w:rPr>
        <w:t xml:space="preserve"> thousands of new apartments completing in the same precinct means an </w:t>
      </w:r>
      <w:r>
        <w:rPr>
          <w:rFonts w:ascii="Instrument Sans" w:hAnsi="Instrument Sans"/>
          <w:b/>
          <w:color w:val="141413"/>
          <w:sz w:val="21"/>
        </w:rPr>
        <w:t>older 1-bed competes against abundant new stock</w:t>
      </w:r>
      <w:r>
        <w:rPr>
          <w:rFonts w:ascii="Instrument Sans" w:hAnsi="Instrument Sans"/>
          <w:color w:val="141413"/>
          <w:sz w:val="21"/>
        </w:rPr>
        <w:t>, which can cap price growth and rental tension for that specific dwelling even as land values rise.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Net:</w:t>
      </w:r>
      <w:r>
        <w:rPr>
          <w:rFonts w:ascii="Instrument Sans" w:hAnsi="Instrument Sans"/>
          <w:color w:val="141413"/>
          <w:sz w:val="21"/>
        </w:rPr>
        <w:t xml:space="preserve"> long-term </w:t>
      </w:r>
      <w:r>
        <w:rPr>
          <w:rFonts w:ascii="Instrument Sans" w:hAnsi="Instrument Sans"/>
          <w:b/>
          <w:color w:val="141413"/>
          <w:sz w:val="21"/>
        </w:rPr>
        <w:t>land</w:t>
      </w:r>
      <w:r>
        <w:rPr>
          <w:rFonts w:ascii="Instrument Sans" w:hAnsi="Instrument Sans"/>
          <w:color w:val="141413"/>
          <w:sz w:val="21"/>
        </w:rPr>
        <w:t xml:space="preserve"> thesis strong; long-term </w:t>
      </w:r>
      <w:r>
        <w:rPr>
          <w:rFonts w:ascii="Instrument Sans" w:hAnsi="Instrument Sans"/>
          <w:b/>
          <w:color w:val="141413"/>
          <w:sz w:val="21"/>
        </w:rPr>
        <w:t>single-dwelling</w:t>
      </w:r>
      <w:r>
        <w:rPr>
          <w:rFonts w:ascii="Instrument Sans" w:hAnsi="Instrument Sans"/>
          <w:color w:val="141413"/>
          <w:sz w:val="21"/>
        </w:rPr>
        <w:t xml:space="preserve"> thesis good but supply-sensitive. Because the building is modern, your realistic exposure is to the </w:t>
      </w:r>
      <w:r>
        <w:rPr>
          <w:rFonts w:ascii="Instrument Sans" w:hAnsi="Instrument Sans"/>
          <w:b/>
          <w:color w:val="141413"/>
          <w:sz w:val="21"/>
        </w:rPr>
        <w:t>dwelling</w:t>
      </w:r>
      <w:r>
        <w:rPr>
          <w:rFonts w:ascii="Instrument Sans" w:hAnsi="Instrument Sans"/>
          <w:color w:val="141413"/>
          <w:sz w:val="21"/>
        </w:rPr>
        <w:t xml:space="preserve"> thesis (amenity-driven growth of a quality apartment), </w:t>
      </w:r>
      <w:r>
        <w:rPr>
          <w:rFonts w:ascii="Instrument Sans" w:hAnsi="Instrument Sans"/>
          <w:b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the site-redevelopment one — which is why a clear-eyed hold-or-sell decision matters more here than waiting for a developer.</w:t>
      </w: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E.  Tax &amp; ownership strategy</w:t>
      </w:r>
    </w:p>
    <w:p>
      <w:pPr>
        <w:spacing w:before="0" w:after="120"/>
        <w:pBdr>
          <w:bottom w:val="single" w:sz="14" w:space="1" w:color="c6613f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c6613f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C6613F"/>
                <w:sz w:val="21"/>
              </w:rPr>
              <w:t>This section is general information, not tax advice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C6613F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CGT and the main-residence exemption are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fact-specific and rule-heavy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. The notes below are general and current understanding only.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Confirm everything with a registered tax agent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before acting — the right structure can be worth tens of thousands of dollars.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The main-residence exemption — your biggest lever</w:t>
      </w: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Because the apartment has been your </w:t>
      </w:r>
      <w:r>
        <w:rPr>
          <w:rFonts w:ascii="Instrument Sans" w:hAnsi="Instrument Sans"/>
          <w:b/>
          <w:color w:val="141413"/>
          <w:sz w:val="21"/>
        </w:rPr>
        <w:t>home</w:t>
      </w:r>
      <w:r>
        <w:rPr>
          <w:rFonts w:ascii="Instrument Sans" w:hAnsi="Instrument Sans"/>
          <w:color w:val="141413"/>
          <w:sz w:val="21"/>
        </w:rPr>
        <w:t xml:space="preserve">, Australia's CGT </w:t>
      </w:r>
      <w:r>
        <w:rPr>
          <w:rFonts w:ascii="Instrument Sans" w:hAnsi="Instrument Sans"/>
          <w:b/>
          <w:color w:val="141413"/>
          <w:sz w:val="21"/>
        </w:rPr>
        <w:t>main-residence exemption</w:t>
      </w:r>
      <w:r>
        <w:rPr>
          <w:rFonts w:ascii="Instrument Sans" w:hAnsi="Instrument Sans"/>
          <w:color w:val="141413"/>
          <w:sz w:val="21"/>
        </w:rPr>
        <w:t xml:space="preserve"> may make a sale </w:t>
      </w:r>
      <w:r>
        <w:rPr>
          <w:rFonts w:ascii="Instrument Sans" w:hAnsi="Instrument Sans"/>
          <w:b/>
          <w:color w:val="141413"/>
          <w:sz w:val="21"/>
        </w:rPr>
        <w:t>fully or largely CGT-free</w:t>
      </w:r>
      <w:r>
        <w:rPr>
          <w:rFonts w:ascii="Instrument Sans" w:hAnsi="Instrument Sans"/>
          <w:color w:val="141413"/>
          <w:sz w:val="21"/>
        </w:rPr>
        <w:t xml:space="preserve">. In broad terms a dwelling can be fully exempt where it was your main residence for the </w:t>
      </w:r>
      <w:r>
        <w:rPr>
          <w:rFonts w:ascii="Instrument Sans" w:hAnsi="Instrument Sans"/>
          <w:b/>
          <w:color w:val="141413"/>
          <w:sz w:val="21"/>
        </w:rPr>
        <w:t>whole</w:t>
      </w:r>
      <w:r>
        <w:rPr>
          <w:rFonts w:ascii="Instrument Sans" w:hAnsi="Instrument Sans"/>
          <w:color w:val="141413"/>
          <w:sz w:val="21"/>
        </w:rPr>
        <w:t xml:space="preserve"> ownership period, sits on </w:t>
      </w:r>
      <w:r>
        <w:rPr>
          <w:rFonts w:ascii="Instrument Sans" w:hAnsi="Instrument Sans"/>
          <w:b/>
          <w:color w:val="141413"/>
          <w:sz w:val="21"/>
        </w:rPr>
        <w:t>2 hectares or less</w:t>
      </w:r>
      <w:r>
        <w:rPr>
          <w:rFonts w:ascii="Instrument Sans" w:hAnsi="Instrument Sans"/>
          <w:color w:val="141413"/>
          <w:sz w:val="21"/>
        </w:rPr>
        <w:t xml:space="preserve">, and was </w:t>
      </w:r>
      <w:r>
        <w:rPr>
          <w:rFonts w:ascii="Instrument Sans" w:hAnsi="Instrument Sans"/>
          <w:b/>
          <w:color w:val="141413"/>
          <w:sz w:val="21"/>
        </w:rPr>
        <w:t>not used to produce income</w:t>
      </w:r>
      <w:r>
        <w:rPr>
          <w:rFonts w:ascii="Instrument Sans" w:hAnsi="Instrument Sans"/>
          <w:color w:val="141413"/>
          <w:sz w:val="21"/>
        </w:rPr>
        <w:t xml:space="preserve">. Where you have held it for more than 12 months, the </w:t>
      </w:r>
      <w:r>
        <w:rPr>
          <w:rFonts w:ascii="Instrument Sans" w:hAnsi="Instrument Sans"/>
          <w:b/>
          <w:color w:val="141413"/>
          <w:sz w:val="21"/>
        </w:rPr>
        <w:t>50% CGT discount</w:t>
      </w:r>
      <w:r>
        <w:rPr>
          <w:rFonts w:ascii="Instrument Sans" w:hAnsi="Instrument Sans"/>
          <w:color w:val="141413"/>
          <w:sz w:val="21"/>
        </w:rPr>
        <w:t xml:space="preserve"> also applies to any taxable portion.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What can complicate or reduce the exemption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Renting it out.</w:t>
      </w:r>
      <w:r>
        <w:rPr>
          <w:rFonts w:ascii="Instrument Sans" w:hAnsi="Instrument Sans"/>
          <w:color w:val="141413"/>
          <w:sz w:val="21"/>
        </w:rPr>
        <w:t xml:space="preserve"> Once the dwelling produces income, the exemption can be affected. The </w:t>
      </w:r>
      <w:r>
        <w:rPr>
          <w:rFonts w:ascii="Instrument Sans" w:hAnsi="Instrument Sans"/>
          <w:b/>
          <w:color w:val="141413"/>
          <w:sz w:val="21"/>
        </w:rPr>
        <w:t>'absence rule'</w:t>
      </w:r>
      <w:r>
        <w:rPr>
          <w:rFonts w:ascii="Instrument Sans" w:hAnsi="Instrument Sans"/>
          <w:color w:val="141413"/>
          <w:sz w:val="21"/>
        </w:rPr>
        <w:t xml:space="preserve"> can keep a former home exempt for </w:t>
      </w:r>
      <w:r>
        <w:rPr>
          <w:rFonts w:ascii="Instrument Sans" w:hAnsi="Instrument Sans"/>
          <w:b/>
          <w:color w:val="141413"/>
          <w:sz w:val="21"/>
        </w:rPr>
        <w:t>up to 6 years</w:t>
      </w:r>
      <w:r>
        <w:rPr>
          <w:rFonts w:ascii="Instrument Sans" w:hAnsi="Instrument Sans"/>
          <w:color w:val="141413"/>
          <w:sz w:val="21"/>
        </w:rPr>
        <w:t xml:space="preserve"> while rented (and potentially indefinitely if it is </w:t>
      </w:r>
      <w:r>
        <w:rPr>
          <w:rFonts w:ascii="Instrument Sans" w:hAnsi="Instrument Sans"/>
          <w:i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income-producing) — </w:t>
      </w:r>
      <w:r>
        <w:rPr>
          <w:rFonts w:ascii="Instrument Sans" w:hAnsi="Instrument Sans"/>
          <w:b/>
          <w:color w:val="141413"/>
          <w:sz w:val="21"/>
        </w:rPr>
        <w:t>if</w:t>
      </w:r>
      <w:r>
        <w:rPr>
          <w:rFonts w:ascii="Instrument Sans" w:hAnsi="Instrument Sans"/>
          <w:color w:val="141413"/>
          <w:sz w:val="21"/>
        </w:rPr>
        <w:t xml:space="preserve"> you don't claim another property as your main residence for that time. Exceeding 6 years of renting typically introduces a </w:t>
      </w:r>
      <w:r>
        <w:rPr>
          <w:rFonts w:ascii="Instrument Sans" w:hAnsi="Instrument Sans"/>
          <w:b/>
          <w:color w:val="141413"/>
          <w:sz w:val="21"/>
        </w:rPr>
        <w:t>partial</w:t>
      </w:r>
      <w:r>
        <w:rPr>
          <w:rFonts w:ascii="Instrument Sans" w:hAnsi="Instrument Sans"/>
          <w:color w:val="141413"/>
          <w:sz w:val="21"/>
        </w:rPr>
        <w:t xml:space="preserve"> CGT liability.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The 'first used to produce income' rule.</w:t>
      </w:r>
      <w:r>
        <w:rPr>
          <w:rFonts w:ascii="Instrument Sans" w:hAnsi="Instrument Sans"/>
          <w:color w:val="141413"/>
          <w:sz w:val="21"/>
        </w:rPr>
        <w:t xml:space="preserve"> If you first rent out a home that was previously your residence, a special rule can reset the cost base to </w:t>
      </w:r>
      <w:r>
        <w:rPr>
          <w:rFonts w:ascii="Instrument Sans" w:hAnsi="Instrument Sans"/>
          <w:b/>
          <w:color w:val="141413"/>
          <w:sz w:val="21"/>
        </w:rPr>
        <w:t>market value at that date</w:t>
      </w:r>
      <w:r>
        <w:rPr>
          <w:rFonts w:ascii="Instrument Sans" w:hAnsi="Instrument Sans"/>
          <w:color w:val="141413"/>
          <w:sz w:val="21"/>
        </w:rPr>
        <w:t xml:space="preserve"> — which changes the CGT maths significantly.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Periods before it was your home, or only partial occupation.</w:t>
      </w:r>
      <w:r>
        <w:rPr>
          <w:rFonts w:ascii="Instrument Sans" w:hAnsi="Instrument Sans"/>
          <w:color w:val="141413"/>
          <w:sz w:val="21"/>
        </w:rPr>
        <w:t xml:space="preserve"> Any period it was </w:t>
      </w:r>
      <w:r>
        <w:rPr>
          <w:rFonts w:ascii="Instrument Sans" w:hAnsi="Instrument Sans"/>
          <w:i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your main residence generally produces a </w:t>
      </w:r>
      <w:r>
        <w:rPr>
          <w:rFonts w:ascii="Instrument Sans" w:hAnsi="Instrument Sans"/>
          <w:b/>
          <w:color w:val="141413"/>
          <w:sz w:val="21"/>
        </w:rPr>
        <w:t>pro-rata</w:t>
      </w:r>
      <w:r>
        <w:rPr>
          <w:rFonts w:ascii="Instrument Sans" w:hAnsi="Instrument Sans"/>
          <w:color w:val="141413"/>
          <w:sz w:val="21"/>
        </w:rPr>
        <w:t xml:space="preserve"> taxable portion.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Using part of the home for income</w:t>
      </w:r>
      <w:r>
        <w:rPr>
          <w:rFonts w:ascii="Instrument Sans" w:hAnsi="Instrument Sans"/>
          <w:color w:val="141413"/>
          <w:sz w:val="21"/>
        </w:rPr>
        <w:t xml:space="preserve"> (e.g. a home business or renting a room) can reduce the exemption proportionately.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Illustrative tax outcomes across the scenarios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448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Scenario</w:t>
            </w:r>
          </w:p>
        </w:tc>
        <w:tc>
          <w:tcPr>
            <w:tcW w:type="dxa" w:w="3600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Typical CGT exposure (general, confirm)</w:t>
            </w:r>
          </w:p>
        </w:tc>
        <w:tc>
          <w:tcPr>
            <w:tcW w:type="dxa" w:w="2261"/>
            <w:shd w:val="clear" w:color="auto" w:fill="f0eee6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Implication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Sell now, lived in it throughout</w:t>
            </w:r>
          </w:p>
        </w:tc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 xml:space="preserve">Likely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full exemption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— little/no CGT</w:t>
            </w:r>
          </w:p>
        </w:tc>
        <w:tc>
          <w:tcPr>
            <w:tcW w:type="dxa" w:w="22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Cleanest outcome; preserves the benefit you've earned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Rent for ≤6 yrs (absence rule), then sell</w:t>
            </w:r>
          </w:p>
        </w:tc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 xml:space="preserve">Often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still fully exempt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if no other main residence claimed</w:t>
            </w:r>
          </w:p>
        </w:tc>
        <w:tc>
          <w:tcPr>
            <w:tcW w:type="dxa" w:w="22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Keeps optionality without losing the exemption — if done correctly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Rent for &gt;6 yrs, then sell</w:t>
            </w:r>
          </w:p>
        </w:tc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b/>
                <w:color w:val="141413"/>
                <w:sz w:val="19"/>
              </w:rPr>
              <w:t>Partial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CGT likely; 50% discount on the taxable part</w:t>
            </w:r>
          </w:p>
        </w:tc>
        <w:tc>
          <w:tcPr>
            <w:tcW w:type="dxa" w:w="22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Each extra year of renting can add to the bill</w:t>
            </w:r>
          </w:p>
        </w:tc>
      </w:tr>
      <w:tr>
        <w:tc>
          <w:tcPr>
            <w:tcW w:type="dxa" w:w="2448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Collective / site sale later</w:t>
            </w:r>
          </w:p>
        </w:tc>
        <w:tc>
          <w:tcPr>
            <w:tcW w:type="dxa" w:w="3600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>Depends on use in the interim + how proceeds are characterised</w:t>
            </w:r>
          </w:p>
        </w:tc>
        <w:tc>
          <w:tcPr>
            <w:tcW w:type="dxa" w:w="2261"/>
            <w:tcBorders>
              <w:top w:val="single" w:sz="4" w:space="0" w:color="e8e6dc"/>
              <w:bottom w:val="single" w:sz="4" w:space="0" w:color="e8e6dc"/>
              <w:left w:val="single" w:sz="4" w:space="0" w:color="e8e6dc"/>
              <w:right w:val="single" w:sz="4" w:space="0" w:color="e8e6dc"/>
            </w:tcBorders>
          </w:tcPr>
          <w:p>
            <w:pPr>
              <w:spacing w:after="40" w:before="40" w:line="283" w:lineRule="auto"/>
            </w:pPr>
            <w:r>
              <w:rPr>
                <w:rFonts w:ascii="Instrument Sans" w:hAnsi="Instrument Sans"/>
                <w:color w:val="141413"/>
                <w:sz w:val="19"/>
              </w:rPr>
              <w:t xml:space="preserve">Get advice </w:t>
            </w:r>
            <w:r>
              <w:rPr>
                <w:rFonts w:ascii="Instrument Sans" w:hAnsi="Instrument Sans"/>
                <w:b/>
                <w:color w:val="141413"/>
                <w:sz w:val="19"/>
              </w:rPr>
              <w:t>before</w:t>
            </w:r>
            <w:r>
              <w:rPr>
                <w:rFonts w:ascii="Instrument Sans" w:hAnsi="Instrument Sans"/>
                <w:color w:val="141413"/>
                <w:sz w:val="19"/>
              </w:rPr>
              <w:t xml:space="preserve"> signing anything — structure matters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Documents to keep (whatever you decide)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 xml:space="preserve">Purchase contract, settlement statement, and </w:t>
      </w:r>
      <w:r>
        <w:rPr>
          <w:rFonts w:ascii="Instrument Sans" w:hAnsi="Instrument Sans"/>
          <w:b/>
          <w:color w:val="141413"/>
          <w:sz w:val="21"/>
        </w:rPr>
        <w:t>stamp duty</w:t>
      </w:r>
      <w:r>
        <w:rPr>
          <w:rFonts w:ascii="Instrument Sans" w:hAnsi="Instrument Sans"/>
          <w:color w:val="141413"/>
          <w:sz w:val="21"/>
        </w:rPr>
        <w:t xml:space="preserve"> records.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 xml:space="preserve">Records of </w:t>
      </w:r>
      <w:r>
        <w:rPr>
          <w:rFonts w:ascii="Instrument Sans" w:hAnsi="Instrument Sans"/>
          <w:b/>
          <w:color w:val="141413"/>
          <w:sz w:val="21"/>
        </w:rPr>
        <w:t>every period</w:t>
      </w:r>
      <w:r>
        <w:rPr>
          <w:rFonts w:ascii="Instrument Sans" w:hAnsi="Instrument Sans"/>
          <w:color w:val="141413"/>
          <w:sz w:val="21"/>
        </w:rPr>
        <w:t xml:space="preserve"> the property was your home vs. rented (dates, leases, agent statements).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 xml:space="preserve">Receipts for </w:t>
      </w:r>
      <w:r>
        <w:rPr>
          <w:rFonts w:ascii="Instrument Sans" w:hAnsi="Instrument Sans"/>
          <w:b/>
          <w:color w:val="141413"/>
          <w:sz w:val="21"/>
        </w:rPr>
        <w:t>capital improvements</w:t>
      </w:r>
      <w:r>
        <w:rPr>
          <w:rFonts w:ascii="Instrument Sans" w:hAnsi="Instrument Sans"/>
          <w:color w:val="141413"/>
          <w:sz w:val="21"/>
        </w:rPr>
        <w:t xml:space="preserve"> (these can lift the cost base and reduce CGT on any taxable portion).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 xml:space="preserve">If you ever rent it: a </w:t>
      </w:r>
      <w:r>
        <w:rPr>
          <w:rFonts w:ascii="Instrument Sans" w:hAnsi="Instrument Sans"/>
          <w:b/>
          <w:color w:val="141413"/>
          <w:sz w:val="21"/>
        </w:rPr>
        <w:t>market valuation at the date it is first rented</w:t>
      </w:r>
      <w:r>
        <w:rPr>
          <w:rFonts w:ascii="Instrument Sans" w:hAnsi="Instrument Sans"/>
          <w:color w:val="141413"/>
          <w:sz w:val="21"/>
        </w:rPr>
        <w:t xml:space="preserve"> (for the 'first used to produce income' rule).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Strata records, and any developer / renewal correspondence.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306"/>
      </w:tblGrid>
      <w:tr>
        <w:trPr>
          <w:cantSplit w:val="true"/>
        </w:trPr>
        <w:tc>
          <w:tcPr>
            <w:tcW w:type="dxa" w:w="8309"/>
            <w:shd w:val="clear" w:color="auto" w:fill="f0eee6"/>
            <w:tcBorders>
              <w:left w:val="single" w:sz="24" w:space="0" w:color="788c5d"/>
              <w:top w:val="single" w:sz="4" w:space="0" w:color="e8e6dc"/>
              <w:bottom w:val="single" w:sz="4" w:space="0" w:color="e8e6dc"/>
              <w:right w:val="single" w:sz="4" w:space="0" w:color="e8e6dc"/>
            </w:tcBorders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spacing w:after="80"/>
            </w:pPr>
            <w:r>
              <w:rPr>
                <w:rFonts w:ascii="Georgia" w:hAnsi="Georgia"/>
                <w:b/>
                <w:color w:val="788C5D"/>
                <w:sz w:val="21"/>
              </w:rPr>
              <w:t>Questions for your registered tax agent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Given my actual occupation dates,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is a sale today fully CGT-exempt?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If I rent it out,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how long can I do so under the 6-year absence rule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without losing the exemption, and what do I have to be careful of?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Would I benefit from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market valuation now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in case I later rent it (the 'first used to produce income' rule)?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How would the proceeds of a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collective / site sale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be taxed, and does timing change the outcome?</w:t>
            </w:r>
          </w:p>
          <w:p>
            <w:pPr>
              <w:spacing w:after="60" w:line="300" w:lineRule="auto"/>
              <w:ind w:left="200"/>
            </w:pPr>
            <w:r>
              <w:rPr>
                <w:rFonts w:ascii="Instrument Sans" w:hAnsi="Instrument Sans"/>
                <w:color w:val="788C5D"/>
                <w:sz w:val="20"/>
              </w:rPr>
              <w:t xml:space="preserve">•  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Are there </w:t>
            </w:r>
            <w:r>
              <w:rPr>
                <w:rFonts w:ascii="Instrument Sans" w:hAnsi="Instrument Sans"/>
                <w:b/>
                <w:color w:val="141413"/>
                <w:sz w:val="20"/>
              </w:rPr>
              <w:t>superannuation or income-timing</w:t>
            </w:r>
            <w:r>
              <w:rPr>
                <w:rFonts w:ascii="Instrument Sans" w:hAnsi="Instrument Sans"/>
                <w:color w:val="141413"/>
                <w:sz w:val="20"/>
              </w:rPr>
              <w:t xml:space="preserve"> strategies that interact with a sale year?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F.  Recommendation under three scenarios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after="16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There is no single 'right' answer — it depends on your appetite for certainty versus upside, and on facts only your advisers can confirm. The three scenarios below are </w:t>
      </w:r>
      <w:r>
        <w:rPr>
          <w:rFonts w:ascii="Instrument Sans" w:hAnsi="Instrument Sans"/>
          <w:b/>
          <w:color w:val="141413"/>
          <w:sz w:val="21"/>
        </w:rPr>
        <w:t>decision frameworks</w:t>
      </w:r>
      <w:r>
        <w:rPr>
          <w:rFonts w:ascii="Instrument Sans" w:hAnsi="Instrument Sans"/>
          <w:color w:val="141413"/>
          <w:sz w:val="21"/>
        </w:rPr>
        <w:t>, each with concrete actions, trigger points, and the advice to obtain.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Scenario 1 — Conservative (prioritise certainty &amp; CGT efficiency)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Action:</w:t>
      </w:r>
      <w:r>
        <w:rPr>
          <w:rFonts w:ascii="Instrument Sans" w:hAnsi="Instrument Sans"/>
          <w:color w:val="141413"/>
          <w:sz w:val="21"/>
        </w:rPr>
        <w:t xml:space="preserve"> confirm the main-residence exemption with a tax agent, then </w:t>
      </w:r>
      <w:r>
        <w:rPr>
          <w:rFonts w:ascii="Instrument Sans" w:hAnsi="Instrument Sans"/>
          <w:b/>
          <w:color w:val="141413"/>
          <w:sz w:val="21"/>
        </w:rPr>
        <w:t>sell at or near $900k</w:t>
      </w:r>
      <w:r>
        <w:rPr>
          <w:rFonts w:ascii="Instrument Sans" w:hAnsi="Instrument Sans"/>
          <w:color w:val="141413"/>
          <w:sz w:val="21"/>
        </w:rPr>
        <w:t xml:space="preserve"> while the position is CGT-advantaged and buyer optimism is already in the price.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Trigger to act now:</w:t>
      </w:r>
      <w:r>
        <w:rPr>
          <w:rFonts w:ascii="Instrument Sans" w:hAnsi="Instrument Sans"/>
          <w:color w:val="141413"/>
          <w:sz w:val="21"/>
        </w:rPr>
        <w:t xml:space="preserve"> you value a clean, liquid outcome over uncertain future upside, or you need the capital.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Price to justify holding instead:</w:t>
      </w:r>
      <w:r>
        <w:rPr>
          <w:rFonts w:ascii="Instrument Sans" w:hAnsi="Instrument Sans"/>
          <w:color w:val="141413"/>
          <w:sz w:val="21"/>
        </w:rPr>
        <w:t xml:space="preserve"> if an agent shows recent comparable 1-beds clearing </w:t>
      </w:r>
      <w:r>
        <w:rPr>
          <w:rFonts w:ascii="Instrument Sans" w:hAnsi="Instrument Sans"/>
          <w:b/>
          <w:color w:val="141413"/>
          <w:sz w:val="21"/>
        </w:rPr>
        <w:t>well above ~$950k–$1.0m</w:t>
      </w:r>
      <w:r>
        <w:rPr>
          <w:rFonts w:ascii="Instrument Sans" w:hAnsi="Instrument Sans"/>
          <w:color w:val="141413"/>
          <w:sz w:val="21"/>
        </w:rPr>
        <w:t>, reconsider — the market may already be rewarding patience.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Advice needed:</w:t>
      </w:r>
      <w:r>
        <w:rPr>
          <w:rFonts w:ascii="Instrument Sans" w:hAnsi="Instrument Sans"/>
          <w:color w:val="141413"/>
          <w:sz w:val="21"/>
        </w:rPr>
        <w:t xml:space="preserve"> registered tax agent (exemption), selling agent (true clearing price).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Key risk:</w:t>
      </w:r>
      <w:r>
        <w:rPr>
          <w:rFonts w:ascii="Instrument Sans" w:hAnsi="Instrument Sans"/>
          <w:color w:val="141413"/>
          <w:sz w:val="21"/>
        </w:rPr>
        <w:t xml:space="preserve"> selling just before a rezoning-driven step-up. Mitigant: the exemption and certainty have real value today, and uplift is not guaranteed to reach your lot.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Scenario 2 — Growth-focused (hold for the Metro / rezoning thesis)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Action:</w:t>
      </w:r>
      <w:r>
        <w:rPr>
          <w:rFonts w:ascii="Instrument Sans" w:hAnsi="Instrument Sans"/>
          <w:color w:val="141413"/>
          <w:sz w:val="21"/>
        </w:rPr>
        <w:t xml:space="preserve"> </w:t>
      </w:r>
      <w:r>
        <w:rPr>
          <w:rFonts w:ascii="Instrument Sans" w:hAnsi="Instrument Sans"/>
          <w:b/>
          <w:color w:val="141413"/>
          <w:sz w:val="21"/>
        </w:rPr>
        <w:t>hold</w:t>
      </w:r>
      <w:r>
        <w:rPr>
          <w:rFonts w:ascii="Instrument Sans" w:hAnsi="Instrument Sans"/>
          <w:color w:val="141413"/>
          <w:sz w:val="21"/>
        </w:rPr>
        <w:t xml:space="preserve">, and if you move out, </w:t>
      </w:r>
      <w:r>
        <w:rPr>
          <w:rFonts w:ascii="Instrument Sans" w:hAnsi="Instrument Sans"/>
          <w:b/>
          <w:color w:val="141413"/>
          <w:sz w:val="21"/>
        </w:rPr>
        <w:t>rent within the 6-year absence rule</w:t>
      </w:r>
      <w:r>
        <w:rPr>
          <w:rFonts w:ascii="Instrument Sans" w:hAnsi="Instrument Sans"/>
          <w:color w:val="141413"/>
          <w:sz w:val="21"/>
        </w:rPr>
        <w:t xml:space="preserve"> so the CGT exemption is preserved; re-test value at two milestones — </w:t>
      </w:r>
      <w:r>
        <w:rPr>
          <w:rFonts w:ascii="Instrument Sans" w:hAnsi="Instrument Sans"/>
          <w:b/>
          <w:color w:val="141413"/>
          <w:sz w:val="21"/>
        </w:rPr>
        <w:t>rezoning finalisation (2026)</w:t>
      </w:r>
      <w:r>
        <w:rPr>
          <w:rFonts w:ascii="Instrument Sans" w:hAnsi="Instrument Sans"/>
          <w:color w:val="141413"/>
          <w:sz w:val="21"/>
        </w:rPr>
        <w:t xml:space="preserve"> and </w:t>
      </w:r>
      <w:r>
        <w:rPr>
          <w:rFonts w:ascii="Instrument Sans" w:hAnsi="Instrument Sans"/>
          <w:b/>
          <w:color w:val="141413"/>
          <w:sz w:val="21"/>
        </w:rPr>
        <w:t>as Metro West nears (2030–32)</w:t>
      </w:r>
      <w:r>
        <w:rPr>
          <w:rFonts w:ascii="Instrument Sans" w:hAnsi="Instrument Sans"/>
          <w:color w:val="141413"/>
          <w:sz w:val="21"/>
        </w:rPr>
        <w:t>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Trigger to act:</w:t>
      </w:r>
      <w:r>
        <w:rPr>
          <w:rFonts w:ascii="Instrument Sans" w:hAnsi="Instrument Sans"/>
          <w:color w:val="141413"/>
          <w:sz w:val="21"/>
        </w:rPr>
        <w:t xml:space="preserve"> rezoning finalises with strong height/FSR confirmed for your lot; comparable values rising.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Price premium to sell into:</w:t>
      </w:r>
      <w:r>
        <w:rPr>
          <w:rFonts w:ascii="Instrument Sans" w:hAnsi="Instrument Sans"/>
          <w:color w:val="141413"/>
          <w:sz w:val="21"/>
        </w:rPr>
        <w:t xml:space="preserve"> a market or off-market offer </w:t>
      </w:r>
      <w:r>
        <w:rPr>
          <w:rFonts w:ascii="Instrument Sans" w:hAnsi="Instrument Sans"/>
          <w:b/>
          <w:color w:val="141413"/>
          <w:sz w:val="21"/>
        </w:rPr>
        <w:t>materially above the prevailing unit median</w:t>
      </w:r>
      <w:r>
        <w:rPr>
          <w:rFonts w:ascii="Instrument Sans" w:hAnsi="Instrument Sans"/>
          <w:color w:val="141413"/>
          <w:sz w:val="21"/>
        </w:rPr>
        <w:t xml:space="preserve"> (e.g. a </w:t>
      </w:r>
      <w:r>
        <w:rPr>
          <w:rFonts w:ascii="Instrument Sans" w:hAnsi="Instrument Sans"/>
          <w:b/>
          <w:color w:val="141413"/>
          <w:sz w:val="21"/>
        </w:rPr>
        <w:t>20%+</w:t>
      </w:r>
      <w:r>
        <w:rPr>
          <w:rFonts w:ascii="Instrument Sans" w:hAnsi="Instrument Sans"/>
          <w:color w:val="141413"/>
          <w:sz w:val="21"/>
        </w:rPr>
        <w:t xml:space="preserve"> premium to comparable 1-beds) — especially if it reflects development interest rather than dwelling value.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Advice needed:</w:t>
      </w:r>
      <w:r>
        <w:rPr>
          <w:rFonts w:ascii="Instrument Sans" w:hAnsi="Instrument Sans"/>
          <w:color w:val="141413"/>
          <w:sz w:val="21"/>
        </w:rPr>
        <w:t xml:space="preserve"> tax agent (absence-rule mechanics + valuation timing), property manager, agent for periodic appraisals.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Key risk:</w:t>
      </w:r>
      <w:r>
        <w:rPr>
          <w:rFonts w:ascii="Instrument Sans" w:hAnsi="Instrument Sans"/>
          <w:color w:val="141413"/>
          <w:sz w:val="21"/>
        </w:rPr>
        <w:t xml:space="preserve"> new-supply competition caps growth for an older 1-bed, and renting too long erodes the exemption. Mitigant: the 6-year rule and disciplined milestone reviews.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Scenario 3 — Opportunistic (the long-shot development premium)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Reality check first:</w:t>
      </w:r>
      <w:r>
        <w:rPr>
          <w:rFonts w:ascii="Instrument Sans" w:hAnsi="Instrument Sans"/>
          <w:color w:val="141413"/>
          <w:sz w:val="21"/>
        </w:rPr>
        <w:t xml:space="preserve"> because the building is </w:t>
      </w:r>
      <w:r>
        <w:rPr>
          <w:rFonts w:ascii="Instrument Sans" w:hAnsi="Instrument Sans"/>
          <w:b/>
          <w:color w:val="141413"/>
          <w:sz w:val="21"/>
        </w:rPr>
        <w:t>modern</w:t>
      </w:r>
      <w:r>
        <w:rPr>
          <w:rFonts w:ascii="Instrument Sans" w:hAnsi="Instrument Sans"/>
          <w:color w:val="141413"/>
          <w:sz w:val="21"/>
        </w:rPr>
        <w:t xml:space="preserve">, a site / collective sale is a </w:t>
      </w:r>
      <w:r>
        <w:rPr>
          <w:rFonts w:ascii="Instrument Sans" w:hAnsi="Instrument Sans"/>
          <w:b/>
          <w:color w:val="141413"/>
          <w:sz w:val="21"/>
        </w:rPr>
        <w:t>long-dated tail, not a near-term play</w:t>
      </w:r>
      <w:r>
        <w:rPr>
          <w:rFonts w:ascii="Instrument Sans" w:hAnsi="Instrument Sans"/>
          <w:color w:val="141413"/>
          <w:sz w:val="21"/>
        </w:rPr>
        <w:t xml:space="preserve"> — new buildings are rarely demolished. Do </w:t>
      </w:r>
      <w:r>
        <w:rPr>
          <w:rFonts w:ascii="Instrument Sans" w:hAnsi="Instrument Sans"/>
          <w:b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build a plan around it; this scenario is about staying </w:t>
      </w:r>
      <w:r>
        <w:rPr>
          <w:rFonts w:ascii="Instrument Sans" w:hAnsi="Instrument Sans"/>
          <w:i/>
          <w:color w:val="141413"/>
          <w:sz w:val="21"/>
        </w:rPr>
        <w:t>reachable</w:t>
      </w:r>
      <w:r>
        <w:rPr>
          <w:rFonts w:ascii="Instrument Sans" w:hAnsi="Instrument Sans"/>
          <w:color w:val="141413"/>
          <w:sz w:val="21"/>
        </w:rPr>
        <w:t xml:space="preserve">, not </w:t>
      </w:r>
      <w:r>
        <w:rPr>
          <w:rFonts w:ascii="Instrument Sans" w:hAnsi="Instrument Sans"/>
          <w:i/>
          <w:color w:val="141413"/>
          <w:sz w:val="21"/>
        </w:rPr>
        <w:t>waiting</w:t>
      </w:r>
      <w:r>
        <w:rPr>
          <w:rFonts w:ascii="Instrument Sans" w:hAnsi="Instrument Sans"/>
          <w:color w:val="141413"/>
          <w:sz w:val="21"/>
        </w:rPr>
        <w:t>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Action:</w:t>
      </w:r>
      <w:r>
        <w:rPr>
          <w:rFonts w:ascii="Instrument Sans" w:hAnsi="Instrument Sans"/>
          <w:color w:val="141413"/>
          <w:sz w:val="21"/>
        </w:rPr>
        <w:t xml:space="preserve"> </w:t>
      </w:r>
      <w:r>
        <w:rPr>
          <w:rFonts w:ascii="Instrument Sans" w:hAnsi="Instrument Sans"/>
          <w:b/>
          <w:color w:val="141413"/>
          <w:sz w:val="21"/>
        </w:rPr>
        <w:t>hold</w:t>
      </w:r>
      <w:r>
        <w:rPr>
          <w:rFonts w:ascii="Instrument Sans" w:hAnsi="Instrument Sans"/>
          <w:color w:val="141413"/>
          <w:sz w:val="21"/>
        </w:rPr>
        <w:t xml:space="preserve"> on the Section-2 growth logic, and simply stay visible to any site-assembly interest. Take any unsolicited approach to a </w:t>
      </w:r>
      <w:r>
        <w:rPr>
          <w:rFonts w:ascii="Instrument Sans" w:hAnsi="Instrument Sans"/>
          <w:b/>
          <w:color w:val="141413"/>
          <w:sz w:val="21"/>
        </w:rPr>
        <w:t>collective-sale solicitor</w:t>
      </w:r>
      <w:r>
        <w:rPr>
          <w:rFonts w:ascii="Instrument Sans" w:hAnsi="Instrument Sans"/>
          <w:color w:val="141413"/>
          <w:sz w:val="21"/>
        </w:rPr>
        <w:t xml:space="preserve"> before responding.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Trigger to even consider:</w:t>
      </w:r>
      <w:r>
        <w:rPr>
          <w:rFonts w:ascii="Instrument Sans" w:hAnsi="Instrument Sans"/>
          <w:color w:val="141413"/>
          <w:sz w:val="21"/>
        </w:rPr>
        <w:t xml:space="preserve"> a credible, </w:t>
      </w:r>
      <w:r>
        <w:rPr>
          <w:rFonts w:ascii="Instrument Sans" w:hAnsi="Instrument Sans"/>
          <w:i/>
          <w:color w:val="141413"/>
          <w:sz w:val="21"/>
        </w:rPr>
        <w:t>unsolicited</w:t>
      </w:r>
      <w:r>
        <w:rPr>
          <w:rFonts w:ascii="Instrument Sans" w:hAnsi="Instrument Sans"/>
          <w:color w:val="141413"/>
          <w:sz w:val="21"/>
        </w:rPr>
        <w:t xml:space="preserve"> developer or renewal proposal for your block or street — which, for a new building, would be unusual.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Premium to justify selling:</w:t>
      </w:r>
      <w:r>
        <w:rPr>
          <w:rFonts w:ascii="Instrument Sans" w:hAnsi="Instrument Sans"/>
          <w:color w:val="141413"/>
          <w:sz w:val="21"/>
        </w:rPr>
        <w:t xml:space="preserve"> an offer that </w:t>
      </w:r>
      <w:r>
        <w:rPr>
          <w:rFonts w:ascii="Instrument Sans" w:hAnsi="Instrument Sans"/>
          <w:b/>
          <w:color w:val="141413"/>
          <w:sz w:val="21"/>
        </w:rPr>
        <w:t>clearly beats</w:t>
      </w:r>
      <w:r>
        <w:rPr>
          <w:rFonts w:ascii="Instrument Sans" w:hAnsi="Instrument Sans"/>
          <w:color w:val="141413"/>
          <w:sz w:val="21"/>
        </w:rPr>
        <w:t xml:space="preserve"> an individual after-tax sale; </w:t>
      </w:r>
      <w:r>
        <w:rPr>
          <w:rFonts w:ascii="Instrument Sans" w:hAnsi="Instrument Sans"/>
          <w:b/>
          <w:color w:val="141413"/>
          <w:sz w:val="21"/>
        </w:rPr>
        <w:t>insist on independent valuation</w:t>
      </w:r>
      <w:r>
        <w:rPr>
          <w:rFonts w:ascii="Instrument Sans" w:hAnsi="Instrument Sans"/>
          <w:color w:val="141413"/>
          <w:sz w:val="21"/>
        </w:rPr>
        <w:t xml:space="preserve"> and legal review before signing anything.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Advice needed:</w:t>
      </w:r>
      <w:r>
        <w:rPr>
          <w:rFonts w:ascii="Instrument Sans" w:hAnsi="Instrument Sans"/>
          <w:color w:val="141413"/>
          <w:sz w:val="21"/>
        </w:rPr>
        <w:t xml:space="preserve"> strata-experienced solicitor (Part 10 process), independent valuer, tax agent.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b/>
          <w:color w:val="141413"/>
          <w:sz w:val="21"/>
        </w:rPr>
        <w:t>Key risk:</w:t>
      </w:r>
      <w:r>
        <w:rPr>
          <w:rFonts w:ascii="Instrument Sans" w:hAnsi="Instrument Sans"/>
          <w:color w:val="141413"/>
          <w:sz w:val="21"/>
        </w:rPr>
        <w:t xml:space="preserve"> anchoring on a premium that, for a modern building, </w:t>
      </w:r>
      <w:r>
        <w:rPr>
          <w:rFonts w:ascii="Instrument Sans" w:hAnsi="Instrument Sans"/>
          <w:b/>
          <w:color w:val="141413"/>
          <w:sz w:val="21"/>
        </w:rPr>
        <w:t>may never come.</w:t>
      </w:r>
      <w:r>
        <w:rPr>
          <w:rFonts w:ascii="Instrument Sans" w:hAnsi="Instrument Sans"/>
          <w:color w:val="141413"/>
          <w:sz w:val="21"/>
        </w:rPr>
        <w:t xml:space="preserve"> Mitigant: treat the Section-2 hold (or a clean Section-1 sale) as the real plan; this is only upside if it ever appears.</w:t>
      </w:r>
    </w:p>
    <w:p>
      <w:pPr>
        <w:spacing w:before="240" w:after="80"/>
      </w:pPr>
      <w:r>
        <w:rPr>
          <w:rFonts w:ascii="Georgia" w:hAnsi="Georgia"/>
          <w:b/>
          <w:color w:val="C6613F"/>
          <w:sz w:val="27"/>
        </w:rPr>
        <w:t>How to choose</w:t>
      </w:r>
    </w:p>
    <w:p>
      <w:pPr>
        <w:spacing w:after="160" w:before="0" w:line="317" w:lineRule="auto"/>
      </w:pPr>
      <w:r>
        <w:rPr>
          <w:rFonts w:ascii="Instrument Sans" w:hAnsi="Instrument Sans"/>
          <w:color w:val="141413"/>
          <w:sz w:val="21"/>
        </w:rPr>
        <w:t xml:space="preserve">Most owner-occupiers in your position land on a </w:t>
      </w:r>
      <w:r>
        <w:rPr>
          <w:rFonts w:ascii="Instrument Sans" w:hAnsi="Instrument Sans"/>
          <w:b/>
          <w:color w:val="141413"/>
          <w:sz w:val="21"/>
        </w:rPr>
        <w:t>blend</w:t>
      </w:r>
      <w:r>
        <w:rPr>
          <w:rFonts w:ascii="Instrument Sans" w:hAnsi="Instrument Sans"/>
          <w:color w:val="141413"/>
          <w:sz w:val="21"/>
        </w:rPr>
        <w:t xml:space="preserve">: confirm the CGT position immediately (cheap, high-value), keep the property at least until the rezoning finalises in 2026 (low cost, preserves optionality via the absence rule), and </w:t>
      </w:r>
      <w:r>
        <w:rPr>
          <w:rFonts w:ascii="Instrument Sans" w:hAnsi="Instrument Sans"/>
          <w:b/>
          <w:color w:val="141413"/>
          <w:sz w:val="21"/>
        </w:rPr>
        <w:t>stay reachable</w:t>
      </w:r>
      <w:r>
        <w:rPr>
          <w:rFonts w:ascii="Instrument Sans" w:hAnsi="Instrument Sans"/>
          <w:color w:val="141413"/>
          <w:sz w:val="21"/>
        </w:rPr>
        <w:t xml:space="preserve"> to site-assembly interest without committing. Sell decisively if (a) the after-tax price today beats your realistic hold case, or (b) a genuine development premium appears. The one thing </w:t>
      </w:r>
      <w:r>
        <w:rPr>
          <w:rFonts w:ascii="Instrument Sans" w:hAnsi="Instrument Sans"/>
          <w:b/>
          <w:color w:val="141413"/>
          <w:sz w:val="21"/>
        </w:rPr>
        <w:t>not</w:t>
      </w:r>
      <w:r>
        <w:rPr>
          <w:rFonts w:ascii="Instrument Sans" w:hAnsi="Instrument Sans"/>
          <w:color w:val="141413"/>
          <w:sz w:val="21"/>
        </w:rPr>
        <w:t xml:space="preserve"> to do is make an irreversible decision before a tax agent has confirmed your exemption and a planner has confirmed what the rezoning actually does to </w:t>
      </w:r>
      <w:r>
        <w:rPr>
          <w:rFonts w:ascii="Instrument Sans" w:hAnsi="Instrument Sans"/>
          <w:b/>
          <w:color w:val="141413"/>
          <w:sz w:val="21"/>
        </w:rPr>
        <w:t>your</w:t>
      </w:r>
      <w:r>
        <w:rPr>
          <w:rFonts w:ascii="Instrument Sans" w:hAnsi="Instrument Sans"/>
          <w:color w:val="141413"/>
          <w:sz w:val="21"/>
        </w:rPr>
        <w:t xml:space="preserve"> lot.</w:t>
      </w:r>
    </w:p>
    <w:p>
      <w:pPr>
        <w:spacing w:after="40"/>
      </w:pPr>
    </w:p>
    <w:p>
      <w:pPr>
        <w:spacing w:before="200" w:after="120"/>
      </w:pPr>
      <w:r>
        <w:rPr>
          <w:rFonts w:ascii="Georgia" w:hAnsi="Georgia"/>
          <w:b/>
          <w:color w:val="141413"/>
          <w:sz w:val="36"/>
        </w:rPr>
        <w:t>Sources &amp; verification trail</w:t>
      </w:r>
    </w:p>
    <w:p>
      <w:pPr>
        <w:spacing w:before="0" w:after="120"/>
        <w:pBdr>
          <w:bottom w:val="single" w:sz="14" w:space="1" w:color="c6613f"/>
        </w:pBdr>
      </w:pPr>
    </w:p>
    <w:p>
      <w:pPr>
        <w:spacing w:after="120" w:before="0" w:line="317" w:lineRule="auto"/>
      </w:pPr>
      <w:r>
        <w:rPr>
          <w:rFonts w:ascii="Instrument Sans" w:hAnsi="Instrument Sans"/>
          <w:color w:val="141413"/>
          <w:sz w:val="21"/>
        </w:rPr>
        <w:t>All planning, Metro, and legislative facts in this report are drawn from public sources current to June 2026. Site-specific facts marked 'to be confirmed' must be verified before reliance.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NSW Department of Planning — Burwood North Metro Precinct rezoning (exhibition &amp; ministerial releases): planning.nsw.gov.au; nsw.gov.au/ministerial-releases; planningportal.nsw.gov.au (post-exhibition).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Sydney Metro West — project overview &amp; 2032 target, Burwood North &amp; Five Dock stations: sydneymetro.info/west.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City of Canada Bay — Five Dock Precinct planning proposal PP2025/0003: canadabay.nsw.gov.au; collaborate.canadabay.nsw.gov.au.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Parramatta Road Corridor Urban Transformation Strategy (PRCUTS) — Burwood–Concord precinct; Stage 1 LEP (Dec 2022) / DCP (Mar 2023): planning.nsw.gov.au/plans-for-your-area; landcom.com.au.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Strata Schemes Development Act 2015 (Part 10, strata renewal / collective sale, 75% + Land and Environment Court): legislation.nsw.gov.au; registrargeneral.nsw.gov.au.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Burwood unit market data (median, rent, yield — early 2026): yourinvestmentpropertymag.com.au; propertyvalue.com.au; auspropertyinsights.app.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CGT main-residence exemption, absence rule, 'first used to produce income', 50% discount: ato.gov.au (general guidance — confirm with a registered tax agent).</w:t>
      </w:r>
    </w:p>
    <w:p>
      <w:pPr>
        <w:pStyle w:val="ListBullet"/>
        <w:spacing w:after="60" w:line="307" w:lineRule="auto"/>
      </w:pPr>
      <w:r>
        <w:rPr>
          <w:rFonts w:ascii="Instrument Sans" w:hAnsi="Instrument Sans"/>
          <w:color w:val="141413"/>
          <w:sz w:val="21"/>
        </w:rPr>
        <w:t>Address / postcode (2134) &amp; building profile: domain.com.au building profile for 316 Parramatta Road, Burwood NSW 2134.</w:t>
      </w:r>
    </w:p>
    <w:p>
      <w:pPr>
        <w:spacing w:after="140" w:before="0" w:line="317" w:lineRule="auto"/>
      </w:pPr>
    </w:p>
    <w:p>
      <w:pPr>
        <w:spacing w:after="140" w:before="0" w:line="317" w:lineRule="auto"/>
      </w:pPr>
      <w:r>
        <w:rPr>
          <w:rFonts w:ascii="Instrument Sans" w:hAnsi="Instrument Sans"/>
          <w:b/>
          <w:color w:val="5E5D59"/>
          <w:sz w:val="19"/>
        </w:rPr>
        <w:t>End of report.</w:t>
      </w:r>
      <w:r>
        <w:rPr>
          <w:rFonts w:ascii="Instrument Sans" w:hAnsi="Instrument Sans"/>
          <w:color w:val="5E5D59"/>
          <w:sz w:val="19"/>
        </w:rPr>
        <w:t xml:space="preserve"> Prepared as a decision-support document for the owner. Take the flagged questions to the relevant registered professionals before acting.</w:t>
      </w:r>
    </w:p>
    <w:sectPr w:rsidR="00FC693F" w:rsidRPr="0006063C" w:rsidSect="00034616">
      <w:footerReference w:type="default" r:id="rId11"/>
      <w:pgSz w:w="11906" w:h="16838"/>
      <w:pgMar w:top="1584" w:right="1800" w:bottom="1584" w:left="1800" w:header="864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strument Sans" w:hAnsi="Instrument Sans"/>
        <w:color w:val="5E5D59"/>
        <w:sz w:val="15"/>
      </w:rPr>
      <w:t>Confidential — prepared for Tao Ling  ·  General information only, not financial / tax / legal / planning advice  ·  June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7" w:lineRule="auto" w:after="140"/>
    </w:pPr>
    <w:rPr>
      <w:rFonts w:ascii="Instrument Sans" w:hAnsi="Instrument Sans"/>
      <w:color w:val="14141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