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F45B" w14:textId="77777777" w:rsidR="00FD79A8" w:rsidRDefault="00000000">
      <w:pPr>
        <w:spacing w:before="120" w:after="60" w:line="336" w:lineRule="auto"/>
      </w:pPr>
      <w:r>
        <w:rPr>
          <w:rFonts w:ascii="Georgia" w:eastAsia="Georgia" w:hAnsi="Georgia" w:cs="Georgia"/>
          <w:b/>
          <w:bCs/>
          <w:sz w:val="56"/>
          <w:szCs w:val="56"/>
        </w:rPr>
        <w:t>Market Appraisal</w:t>
      </w:r>
    </w:p>
    <w:p w14:paraId="06F3307D" w14:textId="77777777" w:rsidR="00FD79A8" w:rsidRDefault="00000000">
      <w:pPr>
        <w:spacing w:after="40" w:line="336" w:lineRule="auto"/>
      </w:pPr>
      <w:r>
        <w:rPr>
          <w:color w:val="3D3D3A"/>
          <w:sz w:val="28"/>
          <w:szCs w:val="28"/>
        </w:rPr>
        <w:t>Unit 25 / 316 Parramatta Road, Burwood NSW 2134</w:t>
      </w:r>
    </w:p>
    <w:p w14:paraId="3A97CE54" w14:textId="77777777" w:rsidR="00FD79A8" w:rsidRDefault="00000000">
      <w:pPr>
        <w:spacing w:after="160" w:line="336" w:lineRule="auto"/>
      </w:pPr>
      <w:r>
        <w:rPr>
          <w:color w:val="5E5D59"/>
          <w:sz w:val="20"/>
          <w:szCs w:val="20"/>
        </w:rPr>
        <w:t>2 bed · 2 bath · 1 car apartment · 112 m² · Level 3, north</w:t>
      </w:r>
    </w:p>
    <w:tbl>
      <w:tblPr>
        <w:tblW w:w="8306" w:type="dxa"/>
        <w:tblBorders>
          <w:left w:val="single" w:sz="24" w:space="0" w:color="C6613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FD79A8" w14:paraId="217DB139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shd w:val="clear" w:color="auto" w:fill="F0EEE6"/>
            <w:tcMar>
              <w:top w:w="140" w:type="dxa"/>
              <w:left w:w="220" w:type="dxa"/>
              <w:bottom w:w="140" w:type="dxa"/>
              <w:right w:w="200" w:type="dxa"/>
            </w:tcMar>
          </w:tcPr>
          <w:p w14:paraId="6CD338B7" w14:textId="77777777" w:rsidR="00FD79A8" w:rsidRDefault="00000000">
            <w:pPr>
              <w:spacing w:after="50" w:line="336" w:lineRule="auto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C6613F"/>
                <w:sz w:val="40"/>
                <w:szCs w:val="40"/>
              </w:rPr>
              <w:t>$865,000 – $955,000</w:t>
            </w:r>
          </w:p>
          <w:p w14:paraId="7E33BA44" w14:textId="77777777" w:rsidR="00FD79A8" w:rsidRDefault="00000000">
            <w:pPr>
              <w:spacing w:line="336" w:lineRule="auto"/>
              <w:jc w:val="center"/>
            </w:pPr>
            <w:r>
              <w:rPr>
                <w:i/>
                <w:iCs/>
                <w:color w:val="5E5D59"/>
                <w:sz w:val="20"/>
                <w:szCs w:val="20"/>
              </w:rPr>
              <w:t>Indicative range · midpoint ~$910,000 · direct comparison · low–moderate confidence</w:t>
            </w:r>
          </w:p>
        </w:tc>
      </w:tr>
    </w:tbl>
    <w:p w14:paraId="6E04AE8C" w14:textId="77777777" w:rsidR="00FD79A8" w:rsidRDefault="00FD79A8">
      <w:pPr>
        <w:spacing w:after="120"/>
      </w:pPr>
    </w:p>
    <w:p w14:paraId="44A91EB4" w14:textId="77777777" w:rsidR="00FD79A8" w:rsidRDefault="00000000">
      <w:pPr>
        <w:spacing w:after="130" w:line="336" w:lineRule="auto"/>
      </w:pPr>
      <w:r>
        <w:rPr>
          <w:b/>
          <w:bCs/>
        </w:rPr>
        <w:t>Prepared for:</w:t>
      </w:r>
      <w:r>
        <w:t xml:space="preserve"> HS Partners Real Estate</w:t>
      </w:r>
    </w:p>
    <w:p w14:paraId="270BC452" w14:textId="77777777" w:rsidR="00FD79A8" w:rsidRDefault="00000000">
      <w:pPr>
        <w:spacing w:after="130" w:line="336" w:lineRule="auto"/>
      </w:pPr>
      <w:r>
        <w:rPr>
          <w:i/>
          <w:iCs/>
          <w:color w:val="5E5D59"/>
        </w:rPr>
        <w:t>Indicative market appraisal — not a certified valuation (see Important notice).</w:t>
      </w:r>
    </w:p>
    <w:p w14:paraId="09774AF8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1  Property summary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5606"/>
      </w:tblGrid>
      <w:tr w:rsidR="00FD79A8" w14:paraId="5A49C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083C304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Property address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9DD4FC4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Unit 25 / 316 Parramatta Road, Burwood NSW 2134</w:t>
            </w:r>
          </w:p>
        </w:tc>
      </w:tr>
      <w:tr w:rsidR="00FD79A8" w14:paraId="219F8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B7672C7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Real property description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A1E25DD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supplied in Valura inputs</w:t>
            </w:r>
          </w:p>
        </w:tc>
      </w:tr>
      <w:tr w:rsidR="00FD79A8" w14:paraId="52FCB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0EBE49D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Zoning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4AE04D8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E3</w:t>
            </w:r>
          </w:p>
        </w:tc>
      </w:tr>
      <w:tr w:rsidR="00FD79A8" w14:paraId="31BA7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4765873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LGA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B2BFDF6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Burwood Council</w:t>
            </w:r>
          </w:p>
        </w:tc>
      </w:tr>
      <w:tr w:rsidR="00FD79A8" w14:paraId="62362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8DE70C7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Current use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899754E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Apartment</w:t>
            </w:r>
          </w:p>
        </w:tc>
      </w:tr>
      <w:tr w:rsidR="00FD79A8" w14:paraId="31F4E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30BF8D5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Main dwelling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D55DC66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2 bedroom / 2 bathroom</w:t>
            </w:r>
          </w:p>
        </w:tc>
      </w:tr>
      <w:tr w:rsidR="00FD79A8" w14:paraId="49863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A53090C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Car spaces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E8EDB76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1</w:t>
            </w:r>
          </w:p>
        </w:tc>
      </w:tr>
      <w:tr w:rsidR="00FD79A8" w14:paraId="4B932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BFA01E1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Total area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126E105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112 m²</w:t>
            </w:r>
          </w:p>
        </w:tc>
      </w:tr>
      <w:tr w:rsidR="00FD79A8" w14:paraId="099A2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82C44DE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055ADB42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3</w:t>
            </w:r>
          </w:p>
        </w:tc>
      </w:tr>
      <w:tr w:rsidR="00FD79A8" w14:paraId="57CCD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9FB7F39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04CA7C4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North</w:t>
            </w:r>
          </w:p>
        </w:tc>
      </w:tr>
      <w:tr w:rsidR="00FD79A8" w14:paraId="664E5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9BA12A6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Built about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226A626B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2016</w:t>
            </w:r>
          </w:p>
        </w:tc>
      </w:tr>
      <w:tr w:rsidR="00FD79A8" w14:paraId="7F74B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74D7AC0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Title search sighted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226B0A3E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supplied in Valura inputs</w:t>
            </w:r>
          </w:p>
        </w:tc>
      </w:tr>
      <w:tr w:rsidR="00FD79A8" w14:paraId="6BF1D4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B4FCD76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Heritage issues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F89FE68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supplied in Valura inputs</w:t>
            </w:r>
          </w:p>
        </w:tc>
      </w:tr>
      <w:tr w:rsidR="00FD79A8" w14:paraId="08BA35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76351F3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Environmental issues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84BA307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supplied in Valura inputs</w:t>
            </w:r>
          </w:p>
        </w:tc>
      </w:tr>
      <w:tr w:rsidR="00FD79A8" w14:paraId="4B91A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bottom w:val="single" w:sz="4" w:space="0" w:color="E8E6DC"/>
            </w:tcBorders>
            <w:shd w:val="clear" w:color="auto" w:fill="F0EEE6"/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AB20022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Essential repairs</w:t>
            </w:r>
          </w:p>
        </w:tc>
        <w:tc>
          <w:tcPr>
            <w:tcW w:w="5606" w:type="dxa"/>
            <w:tcBorders>
              <w:bottom w:val="single" w:sz="4" w:space="0" w:color="E8E6DC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9BBFACF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supplied in Valura inputs</w:t>
            </w:r>
          </w:p>
        </w:tc>
      </w:tr>
    </w:tbl>
    <w:p w14:paraId="2D6473C6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2  Risk analysis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500"/>
        <w:gridCol w:w="4206"/>
      </w:tblGrid>
      <w:tr w:rsidR="00FD79A8" w14:paraId="3DBCE7C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0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BA45E1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Risk area</w:t>
            </w:r>
          </w:p>
        </w:tc>
        <w:tc>
          <w:tcPr>
            <w:tcW w:w="150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77F22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206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5369D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Basis</w:t>
            </w:r>
          </w:p>
        </w:tc>
      </w:tr>
      <w:tr w:rsidR="00FD79A8" w14:paraId="64A96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1550E2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Location / neighbourhood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CCA46D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CCB786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 inspected risk rating supplied.</w:t>
            </w:r>
          </w:p>
        </w:tc>
      </w:tr>
      <w:tr w:rsidR="00FD79A8" w14:paraId="250F9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B7EB32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Land / title / planning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C6BC8D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E3C2977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 inspected risk rating supplied.</w:t>
            </w:r>
          </w:p>
        </w:tc>
      </w:tr>
      <w:tr w:rsidR="00FD79A8" w14:paraId="66704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E9C59F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Environmental issues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4F5ED1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F57401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 environmental report supplied.</w:t>
            </w:r>
          </w:p>
        </w:tc>
      </w:tr>
      <w:tr w:rsidR="00FD79A8" w14:paraId="714CE7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BE7BCB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lastRenderedPageBreak/>
              <w:t>Improvements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A02117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22636B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 structural or inspection rating supplied.</w:t>
            </w:r>
          </w:p>
        </w:tc>
      </w:tr>
      <w:tr w:rsidR="00FD79A8" w14:paraId="65EC5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5CB4DD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Market direction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93609F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EE8189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Estimate confidence: low–moderate.</w:t>
            </w:r>
          </w:p>
        </w:tc>
      </w:tr>
      <w:tr w:rsidR="00FD79A8" w14:paraId="5ADA6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49D478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Market activity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68BED5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6DD6E8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Evidence base: 3 selected sales.</w:t>
            </w:r>
          </w:p>
        </w:tc>
      </w:tr>
      <w:tr w:rsidR="00FD79A8" w14:paraId="449EF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C1FACA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Local / regional economy impact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BED353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BDFCFA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 macro risk rating supplied.</w:t>
            </w:r>
          </w:p>
        </w:tc>
      </w:tr>
      <w:tr w:rsidR="00FD79A8" w14:paraId="15BC6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6678D0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Market segment conditions</w:t>
            </w:r>
          </w:p>
        </w:tc>
        <w:tc>
          <w:tcPr>
            <w:tcW w:w="150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358101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Not rated</w:t>
            </w:r>
          </w:p>
        </w:tc>
        <w:tc>
          <w:tcPr>
            <w:tcW w:w="4206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A2DB1B" w14:textId="77777777" w:rsidR="00FD79A8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Derived only from selected comparable sales.</w:t>
            </w:r>
          </w:p>
        </w:tc>
      </w:tr>
    </w:tbl>
    <w:p w14:paraId="781C09C3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3  Valuation &amp; assessments summary</w:t>
      </w:r>
    </w:p>
    <w:p w14:paraId="66AF67F0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Interest valued: not supplied in Valura inputs.</w:t>
      </w:r>
    </w:p>
    <w:p w14:paraId="723343D1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Value component: existing property.</w:t>
      </w:r>
    </w:p>
    <w:p w14:paraId="33BD9CC4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Indicative appraisal range: $865,000 – $955,000.</w:t>
      </w:r>
    </w:p>
    <w:p w14:paraId="0C33DE27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Midpoint: $910,000.</w:t>
      </w:r>
    </w:p>
    <w:p w14:paraId="3CDE3491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Method: direct comparison.</w:t>
      </w:r>
    </w:p>
    <w:p w14:paraId="33937392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Confidence: low–moderate.</w:t>
      </w:r>
    </w:p>
    <w:p w14:paraId="3AC57A29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Rental assessment: not estimated by this template.</w:t>
      </w:r>
    </w:p>
    <w:p w14:paraId="44EC53BB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Insurance estimate: not estimated by this template.</w:t>
      </w:r>
    </w:p>
    <w:p w14:paraId="395508CC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Documents to be sighted: confirm title, contract, strata / body corporate records, and any lender-specific documents before reliance.</w:t>
      </w:r>
    </w:p>
    <w:p w14:paraId="0E3F481D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4  The land</w:t>
      </w:r>
    </w:p>
    <w:p w14:paraId="2CBE3762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Property identification:</w:t>
      </w:r>
      <w:r>
        <w:t xml:space="preserve"> street address supplied; title / strata plan not supplied.</w:t>
      </w:r>
    </w:p>
    <w:p w14:paraId="185F82F2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Zoning effect:</w:t>
      </w:r>
      <w:r>
        <w:t xml:space="preserve"> E3; planning effect not independently assessed.</w:t>
      </w:r>
    </w:p>
    <w:p w14:paraId="232F3750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Location:</w:t>
      </w:r>
      <w:r>
        <w:t xml:space="preserve"> the address is in Burwood NSW. The recorded LGA is Burwood Council; recorded zoning E3. No amenity, school, transport, or travel-time claims are made without source data.</w:t>
      </w:r>
    </w:p>
    <w:p w14:paraId="6569B0C8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Neighbourhood:</w:t>
      </w:r>
      <w:r>
        <w:t xml:space="preserve"> no inspected neighbourhood commentary supplied beyond the grounded local narrative.</w:t>
      </w:r>
    </w:p>
    <w:p w14:paraId="22AFD5C1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Site description and access:</w:t>
      </w:r>
      <w:r>
        <w:t xml:space="preserve"> not supplied in Valura inputs.</w:t>
      </w:r>
    </w:p>
    <w:p w14:paraId="4EA81292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Services:</w:t>
      </w:r>
      <w:r>
        <w:t xml:space="preserve"> not supplied in Valura inputs.</w:t>
      </w:r>
    </w:p>
    <w:p w14:paraId="20DD537E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lastRenderedPageBreak/>
        <w:t>5  Dwelling description</w:t>
      </w:r>
    </w:p>
    <w:p w14:paraId="65D8C431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Style:</w:t>
      </w:r>
      <w:r>
        <w:t xml:space="preserve"> apartment.</w:t>
      </w:r>
    </w:p>
    <w:p w14:paraId="47EB6737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Accommodation:</w:t>
      </w:r>
      <w:r>
        <w:t xml:space="preserve"> 2 bedrooms, 2 bathrooms, 1 car space.</w:t>
      </w:r>
    </w:p>
    <w:p w14:paraId="2CE37389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Internal area:</w:t>
      </w:r>
      <w:r>
        <w:t xml:space="preserve"> n/a.</w:t>
      </w:r>
    </w:p>
    <w:p w14:paraId="2CD41E58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Balcony / outdoor area:</w:t>
      </w:r>
      <w:r>
        <w:t xml:space="preserve"> n/a.</w:t>
      </w:r>
    </w:p>
    <w:p w14:paraId="609CEC0F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Total area:</w:t>
      </w:r>
      <w:r>
        <w:t xml:space="preserve"> 112 m².</w:t>
      </w:r>
    </w:p>
    <w:p w14:paraId="7F18F055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rPr>
          <w:b/>
          <w:bCs/>
        </w:rPr>
        <w:t>Main walls, roof, linings, flooring, windows, condition, fixtures &amp; fittings:</w:t>
      </w:r>
      <w:r>
        <w:t xml:space="preserve"> not supplied in Valura inputs.</w:t>
      </w:r>
    </w:p>
    <w:p w14:paraId="7AC8FADD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6  Ancillary improvements</w:t>
      </w:r>
    </w:p>
    <w:p w14:paraId="0B4CF895" w14:textId="77777777" w:rsidR="00FD79A8" w:rsidRDefault="00000000">
      <w:pPr>
        <w:spacing w:after="130" w:line="336" w:lineRule="auto"/>
      </w:pPr>
      <w:r>
        <w:t>Not supplied in Valura inputs.</w:t>
      </w:r>
    </w:p>
    <w:p w14:paraId="22E92F31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7  Sales evidence &amp; the market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802"/>
        <w:gridCol w:w="1151"/>
        <w:gridCol w:w="1118"/>
        <w:gridCol w:w="584"/>
        <w:gridCol w:w="1024"/>
        <w:gridCol w:w="1847"/>
      </w:tblGrid>
      <w:tr w:rsidR="00FD79A8" w14:paraId="22B022D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6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43414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18"/>
                <w:szCs w:val="18"/>
              </w:rPr>
              <w:t>Comparable</w:t>
            </w:r>
          </w:p>
        </w:tc>
        <w:tc>
          <w:tcPr>
            <w:tcW w:w="82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ED5D6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2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2E1BCE" w14:textId="77777777" w:rsidR="00FD79A8" w:rsidRDefault="00000000">
            <w:pPr>
              <w:spacing w:line="252" w:lineRule="auto"/>
              <w:jc w:val="right"/>
            </w:pPr>
            <w:r>
              <w:rPr>
                <w:b/>
                <w:bCs/>
                <w:sz w:val="18"/>
                <w:szCs w:val="18"/>
              </w:rPr>
              <w:t>Sale price</w:t>
            </w:r>
          </w:p>
        </w:tc>
        <w:tc>
          <w:tcPr>
            <w:tcW w:w="102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ED75FF" w14:textId="77777777" w:rsidR="00FD79A8" w:rsidRDefault="00000000">
            <w:pPr>
              <w:spacing w:line="252" w:lineRule="auto"/>
              <w:jc w:val="right"/>
            </w:pPr>
            <w:r>
              <w:rPr>
                <w:b/>
                <w:bCs/>
                <w:sz w:val="18"/>
                <w:szCs w:val="18"/>
              </w:rPr>
              <w:t>Adjusted</w:t>
            </w:r>
          </w:p>
        </w:tc>
        <w:tc>
          <w:tcPr>
            <w:tcW w:w="52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D4680B" w14:textId="77777777" w:rsidR="00FD79A8" w:rsidRDefault="00000000">
            <w:pPr>
              <w:spacing w:line="252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Beds</w:t>
            </w:r>
          </w:p>
        </w:tc>
        <w:tc>
          <w:tcPr>
            <w:tcW w:w="1060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82E82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2006" w:type="dxa"/>
            <w:tcBorders>
              <w:bottom w:val="single" w:sz="8" w:space="0" w:color="3D3D3A"/>
            </w:tcBorders>
            <w:shd w:val="clear" w:color="auto" w:fill="F0EEE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0D1A20" w14:textId="77777777" w:rsidR="00FD79A8" w:rsidRDefault="00000000">
            <w:pPr>
              <w:spacing w:line="252" w:lineRule="auto"/>
            </w:pPr>
            <w:r>
              <w:rPr>
                <w:b/>
                <w:bCs/>
                <w:sz w:val="18"/>
                <w:szCs w:val="18"/>
              </w:rPr>
              <w:t>Basis</w:t>
            </w:r>
          </w:p>
        </w:tc>
      </w:tr>
      <w:tr w:rsidR="00FD79A8" w14:paraId="5E6F6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35EE3E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3/16–22 Burwood Road</w:t>
            </w:r>
          </w:p>
        </w:tc>
        <w:tc>
          <w:tcPr>
            <w:tcW w:w="8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01B3B0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2026-03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5747BE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$848,000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6837F1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$900,000</w:t>
            </w:r>
          </w:p>
        </w:tc>
        <w:tc>
          <w:tcPr>
            <w:tcW w:w="5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36CC06" w14:textId="77777777" w:rsidR="00FD79A8" w:rsidRDefault="00000000">
            <w:pPr>
              <w:spacing w:line="252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3DFA37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NSW VG PSI</w:t>
            </w:r>
          </w:p>
        </w:tc>
        <w:tc>
          <w:tcPr>
            <w:tcW w:w="20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B4E985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size +6.3%; same-locality</w:t>
            </w:r>
          </w:p>
        </w:tc>
      </w:tr>
      <w:tr w:rsidR="00FD79A8" w14:paraId="1AF89E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148531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205/9 Carilla Street</w:t>
            </w:r>
          </w:p>
        </w:tc>
        <w:tc>
          <w:tcPr>
            <w:tcW w:w="82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469BE4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2026-03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D753AA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$1,000,000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B198CB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$1,035,000</w:t>
            </w:r>
          </w:p>
        </w:tc>
        <w:tc>
          <w:tcPr>
            <w:tcW w:w="52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3F7D49" w14:textId="77777777" w:rsidR="00FD79A8" w:rsidRDefault="00000000">
            <w:pPr>
              <w:spacing w:line="252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B635AE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NSW VG PSI</w:t>
            </w:r>
          </w:p>
        </w:tc>
        <w:tc>
          <w:tcPr>
            <w:tcW w:w="2006" w:type="dxa"/>
            <w:tcBorders>
              <w:bottom w:val="single" w:sz="4" w:space="0" w:color="E8E6DC"/>
            </w:tcBorders>
            <w:shd w:val="clear" w:color="auto" w:fill="FAF9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363E15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size +3.4%; same-locality</w:t>
            </w:r>
          </w:p>
        </w:tc>
      </w:tr>
      <w:tr w:rsidR="00FD79A8" w14:paraId="15F67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EDD2AF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202/43 Belmore Street</w:t>
            </w:r>
          </w:p>
        </w:tc>
        <w:tc>
          <w:tcPr>
            <w:tcW w:w="8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B85540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2026-03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AB2B46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$1,080,000</w:t>
            </w:r>
          </w:p>
        </w:tc>
        <w:tc>
          <w:tcPr>
            <w:tcW w:w="10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A81106" w14:textId="77777777" w:rsidR="00FD79A8" w:rsidRDefault="00000000">
            <w:pPr>
              <w:spacing w:line="252" w:lineRule="auto"/>
              <w:jc w:val="right"/>
            </w:pPr>
            <w:r>
              <w:rPr>
                <w:sz w:val="18"/>
                <w:szCs w:val="18"/>
              </w:rPr>
              <w:t>$1,135,000</w:t>
            </w:r>
          </w:p>
        </w:tc>
        <w:tc>
          <w:tcPr>
            <w:tcW w:w="52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A1B891" w14:textId="77777777" w:rsidR="00FD79A8" w:rsidRDefault="00000000">
            <w:pPr>
              <w:spacing w:line="252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328504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NSW VG PSI</w:t>
            </w:r>
          </w:p>
        </w:tc>
        <w:tc>
          <w:tcPr>
            <w:tcW w:w="2006" w:type="dxa"/>
            <w:tcBorders>
              <w:bottom w:val="single" w:sz="4" w:space="0" w:color="E8E6DC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25CB57" w14:textId="77777777" w:rsidR="00FD79A8" w:rsidRDefault="00000000">
            <w:pPr>
              <w:spacing w:line="252" w:lineRule="auto"/>
            </w:pPr>
            <w:r>
              <w:rPr>
                <w:sz w:val="18"/>
                <w:szCs w:val="18"/>
              </w:rPr>
              <w:t>size +5.0%; same-locality</w:t>
            </w:r>
          </w:p>
        </w:tc>
      </w:tr>
    </w:tbl>
    <w:p w14:paraId="2B36EC7C" w14:textId="77777777" w:rsidR="00FD79A8" w:rsidRDefault="00FD79A8">
      <w:pPr>
        <w:spacing w:after="100"/>
      </w:pPr>
    </w:p>
    <w:p w14:paraId="751B1C1F" w14:textId="77777777" w:rsidR="00FD79A8" w:rsidRDefault="00000000">
      <w:pPr>
        <w:spacing w:after="130" w:line="336" w:lineRule="auto"/>
      </w:pPr>
      <w:r>
        <w:t xml:space="preserve">Config-matched 2-bed Burwood sales (Mar 2026, NSW Valuer General PSI) ran from ~$848k to ~$1.08M (size-adjusted ~$900k–$1.135M). The subject is appraised within this evidence at </w:t>
      </w:r>
      <w:r>
        <w:rPr>
          <w:b/>
          <w:bCs/>
        </w:rPr>
        <w:t>$865,000 – $955,000</w:t>
      </w:r>
      <w:r>
        <w:t>. Distance basis: same-locality (not geocoded). All comparables are 2-bath / car n/a in the source.</w:t>
      </w:r>
    </w:p>
    <w:p w14:paraId="2C12D19E" w14:textId="77777777" w:rsidR="00FD79A8" w:rsidRDefault="00000000">
      <w:pPr>
        <w:spacing w:after="130" w:line="336" w:lineRule="auto"/>
      </w:pPr>
      <w:r>
        <w:rPr>
          <w:i/>
          <w:iCs/>
          <w:color w:val="5E5D59"/>
        </w:rPr>
        <w:t>Map not rendered in the source inputs; comparable locality evidence: Burwood.</w:t>
      </w:r>
    </w:p>
    <w:p w14:paraId="690053B7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8  Additional comments</w:t>
      </w:r>
    </w:p>
    <w:p w14:paraId="4C9891F5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 xml:space="preserve">The output follows a numbered mortgage-valuation report structure for review, but the current Valura market-appraisal profile is </w:t>
      </w:r>
      <w:r>
        <w:rPr>
          <w:b/>
          <w:bCs/>
        </w:rPr>
        <w:t>not</w:t>
      </w:r>
      <w:r>
        <w:t xml:space="preserve"> a certified mortgage valuation.</w:t>
      </w:r>
    </w:p>
    <w:p w14:paraId="14245539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Contract, title, strata / body corporate, environmental, building, and inspection documents must be checked outside this template before reliance.</w:t>
      </w:r>
    </w:p>
    <w:p w14:paraId="50E630CA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lastRenderedPageBreak/>
        <w:t>Sale evidence is limited to 3 selected comparable sales carried in the run evidence.</w:t>
      </w:r>
    </w:p>
    <w:p w14:paraId="29EAA15B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ESG, environmental, structural, cladding, and body-corporate issues are not independently assessed by this template.</w:t>
      </w:r>
    </w:p>
    <w:p w14:paraId="293CF015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9  Assumptions, conditions &amp; limitations</w:t>
      </w:r>
    </w:p>
    <w:p w14:paraId="21D32F2C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This structural variant is not a JLL-issued report and does not use a JLL logo, liability scheme, or valuer declaration.</w:t>
      </w:r>
    </w:p>
    <w:p w14:paraId="3DC560C9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Issuer, valuer, company, brand, and disclaimer text remain controlled by the configured brand registry and compliance profile.</w:t>
      </w:r>
    </w:p>
    <w:p w14:paraId="581EC287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Use certified-valuation wording only after the valuation compliance profile, inspection capture, sighted-document evidence, and registered-valuer sign-off are implemented and approved.</w:t>
      </w:r>
    </w:p>
    <w:p w14:paraId="2F19A822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Current compliance profile: market-appraisal.</w:t>
      </w:r>
    </w:p>
    <w:p w14:paraId="0653FA32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10  Capped liability scheme</w:t>
      </w:r>
    </w:p>
    <w:p w14:paraId="5EB1FB79" w14:textId="77777777" w:rsidR="00FD79A8" w:rsidRDefault="00000000">
      <w:pPr>
        <w:spacing w:after="130" w:line="336" w:lineRule="auto"/>
      </w:pPr>
      <w:r>
        <w:t>Not supplied by Valura. Liability wording must come from the authorised issuer / compliance profile.</w:t>
      </w:r>
    </w:p>
    <w:p w14:paraId="6D092A58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Visual evidence</w:t>
      </w:r>
    </w:p>
    <w:p w14:paraId="13AA668F" w14:textId="77777777" w:rsidR="00FD79A8" w:rsidRDefault="00000000">
      <w:pPr>
        <w:spacing w:before="150" w:after="70" w:line="336" w:lineRule="auto"/>
      </w:pPr>
      <w:r>
        <w:rPr>
          <w:rFonts w:ascii="Georgia" w:eastAsia="Georgia" w:hAnsi="Georgia" w:cs="Georgia"/>
          <w:b/>
          <w:bCs/>
          <w:color w:val="3D3D3A"/>
          <w:sz w:val="24"/>
          <w:szCs w:val="24"/>
        </w:rPr>
        <w:t>Floorplan</w:t>
      </w:r>
    </w:p>
    <w:p w14:paraId="0B2D47B5" w14:textId="276A478B" w:rsidR="00FD79A8" w:rsidRDefault="004D3B45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334756A5" wp14:editId="52D3C5CB">
            <wp:extent cx="4572000" cy="4124325"/>
            <wp:effectExtent l="0" t="0" r="0" b="0"/>
            <wp:docPr id="1066064718" name="Picture 106606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4905E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Property floorplan — source: HS Partners listing.</w:t>
      </w:r>
    </w:p>
    <w:p w14:paraId="0CC34709" w14:textId="77777777" w:rsidR="00FD79A8" w:rsidRDefault="00000000">
      <w:pPr>
        <w:spacing w:before="150" w:after="70" w:line="336" w:lineRule="auto"/>
      </w:pPr>
      <w:r>
        <w:rPr>
          <w:rFonts w:ascii="Georgia" w:eastAsia="Georgia" w:hAnsi="Georgia" w:cs="Georgia"/>
          <w:b/>
          <w:bCs/>
          <w:color w:val="3D3D3A"/>
          <w:sz w:val="24"/>
          <w:szCs w:val="24"/>
        </w:rPr>
        <w:t>Listing photos</w:t>
      </w:r>
    </w:p>
    <w:p w14:paraId="3A88D26D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77971F2A" wp14:editId="7B938FA8">
            <wp:extent cx="4572000" cy="3048000"/>
            <wp:effectExtent l="0" t="0" r="0" b="0"/>
            <wp:docPr id="568963541" name="Picture 56896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753E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1 — source: HS Partners listing.</w:t>
      </w:r>
    </w:p>
    <w:p w14:paraId="6F879699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66FB148B" wp14:editId="495003B8">
            <wp:extent cx="4572000" cy="3048000"/>
            <wp:effectExtent l="0" t="0" r="0" b="0"/>
            <wp:docPr id="1429690108" name="Picture 142969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6BEF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2 — source: HS Partners listing.</w:t>
      </w:r>
    </w:p>
    <w:p w14:paraId="619E8F82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1DAB80EA" wp14:editId="577D4708">
            <wp:extent cx="4572000" cy="3048000"/>
            <wp:effectExtent l="0" t="0" r="0" b="0"/>
            <wp:docPr id="1287187534" name="Picture 128718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4658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3 — source: HS Partners listing.</w:t>
      </w:r>
    </w:p>
    <w:p w14:paraId="283B68D3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7C1AD651" wp14:editId="2C9CEE84">
            <wp:extent cx="4572000" cy="4124325"/>
            <wp:effectExtent l="0" t="0" r="0" b="0"/>
            <wp:docPr id="1848715908" name="Picture 1848715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2BBD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4 — source: HS Partners listing.</w:t>
      </w:r>
    </w:p>
    <w:p w14:paraId="1B67B745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1B7718FE" wp14:editId="43069659">
            <wp:extent cx="4572000" cy="3048000"/>
            <wp:effectExtent l="0" t="0" r="0" b="0"/>
            <wp:docPr id="168475101" name="Picture 168475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EA216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5 — source: HS Partners listing.</w:t>
      </w:r>
    </w:p>
    <w:p w14:paraId="01CD25E6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6EC2B882" wp14:editId="3F2D4DCF">
            <wp:extent cx="4572000" cy="3048000"/>
            <wp:effectExtent l="0" t="0" r="0" b="0"/>
            <wp:docPr id="1948676645" name="Picture 194867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9E6E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6 — source: HS Partners listing.</w:t>
      </w:r>
    </w:p>
    <w:p w14:paraId="7551AC70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480EDE55" wp14:editId="7D743E70">
            <wp:extent cx="4572000" cy="3048000"/>
            <wp:effectExtent l="0" t="0" r="0" b="0"/>
            <wp:docPr id="1905957791" name="Picture 1905957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4AA8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7 — source: HS Partners listing.</w:t>
      </w:r>
    </w:p>
    <w:p w14:paraId="1EAA068B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6F8C4D8A" wp14:editId="748794E6">
            <wp:extent cx="4572000" cy="3048000"/>
            <wp:effectExtent l="0" t="0" r="0" b="0"/>
            <wp:docPr id="669060907" name="Picture 66906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D178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8 — source: HS Partners listing.</w:t>
      </w:r>
    </w:p>
    <w:p w14:paraId="0875D3AC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10683FCE" wp14:editId="0A648C3E">
            <wp:extent cx="4572000" cy="3048000"/>
            <wp:effectExtent l="0" t="0" r="0" b="0"/>
            <wp:docPr id="1249722661" name="Picture 124972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1054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9 — source: HS Partners listing.</w:t>
      </w:r>
    </w:p>
    <w:p w14:paraId="39ED2BC0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4E64E829" wp14:editId="102B4B3C">
            <wp:extent cx="4572000" cy="3048000"/>
            <wp:effectExtent l="0" t="0" r="0" b="0"/>
            <wp:docPr id="2133511760" name="Picture 213351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4384B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10 — source: HS Partners listing.</w:t>
      </w:r>
    </w:p>
    <w:p w14:paraId="4EE08364" w14:textId="77777777" w:rsidR="00FD79A8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67F1E435" wp14:editId="45CCB3EC">
            <wp:extent cx="4572000" cy="3048000"/>
            <wp:effectExtent l="0" t="0" r="0" b="0"/>
            <wp:docPr id="1348681073" name="Picture 134868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6D9F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11 — source: HS Partners listing.</w:t>
      </w:r>
    </w:p>
    <w:p w14:paraId="02031B85" w14:textId="77777777" w:rsidR="00FD79A8" w:rsidRDefault="00000000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 wp14:anchorId="591F4970" wp14:editId="20512C53">
            <wp:extent cx="4572000" cy="3048000"/>
            <wp:effectExtent l="0" t="0" r="0" b="0"/>
            <wp:docPr id="504311016" name="Picture 50431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7DFB" w14:textId="77777777" w:rsidR="00FD79A8" w:rsidRDefault="00000000">
      <w:pPr>
        <w:spacing w:after="160"/>
        <w:jc w:val="center"/>
      </w:pPr>
      <w:r>
        <w:rPr>
          <w:i/>
          <w:iCs/>
          <w:color w:val="5E5D59"/>
          <w:sz w:val="16"/>
          <w:szCs w:val="16"/>
        </w:rPr>
        <w:t>Listing photo 12 — source: HS Partners listing.</w:t>
      </w:r>
    </w:p>
    <w:p w14:paraId="5444D6A8" w14:textId="77777777" w:rsidR="00FD79A8" w:rsidRDefault="00000000">
      <w:pPr>
        <w:spacing w:before="220" w:after="110" w:line="336" w:lineRule="auto"/>
      </w:pPr>
      <w:r>
        <w:rPr>
          <w:rFonts w:ascii="Georgia" w:eastAsia="Georgia" w:hAnsi="Georgia" w:cs="Georgia"/>
          <w:b/>
          <w:bCs/>
          <w:sz w:val="40"/>
          <w:szCs w:val="40"/>
        </w:rPr>
        <w:t>Important notice</w:t>
      </w:r>
    </w:p>
    <w:p w14:paraId="6FEBDF05" w14:textId="77777777" w:rsidR="00FD79A8" w:rsidRDefault="00000000">
      <w:pPr>
        <w:spacing w:after="130" w:line="336" w:lineRule="auto"/>
      </w:pPr>
      <w:r>
        <w:t xml:space="preserve">This market appraisal is an indicative opinion of likely selling range only. It is </w:t>
      </w:r>
      <w:r>
        <w:rPr>
          <w:b/>
          <w:bCs/>
        </w:rPr>
        <w:t>not a certified valuation</w:t>
      </w:r>
      <w:r>
        <w:t xml:space="preserve">, </w:t>
      </w:r>
      <w:r>
        <w:rPr>
          <w:b/>
          <w:bCs/>
        </w:rPr>
        <w:t>not a mortgage valuation</w:t>
      </w:r>
      <w:r>
        <w:t xml:space="preserve">, and </w:t>
      </w:r>
      <w:r>
        <w:rPr>
          <w:b/>
          <w:bCs/>
        </w:rPr>
        <w:t>not</w:t>
      </w:r>
      <w:r>
        <w:t xml:space="preserve"> prepared for legal, taxation, lending, or financial-reporting reliance. A certified valuation requires inspection, standards compliance, and sign-off by a registered valuer.</w:t>
      </w:r>
    </w:p>
    <w:p w14:paraId="46D7A38C" w14:textId="77777777" w:rsidR="00FD79A8" w:rsidRDefault="00000000">
      <w:pPr>
        <w:spacing w:before="200" w:after="80" w:line="336" w:lineRule="auto"/>
      </w:pPr>
      <w:r>
        <w:rPr>
          <w:rFonts w:ascii="Georgia" w:eastAsia="Georgia" w:hAnsi="Georgia" w:cs="Georgia"/>
          <w:b/>
          <w:bCs/>
          <w:color w:val="C6613F"/>
          <w:sz w:val="28"/>
          <w:szCs w:val="28"/>
        </w:rPr>
        <w:t>Sources</w:t>
      </w:r>
    </w:p>
    <w:p w14:paraId="59AA1EE1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NSW Valuer General PSI — comparable sales.</w:t>
      </w:r>
    </w:p>
    <w:p w14:paraId="6E6F8297" w14:textId="77777777" w:rsidR="00FD79A8" w:rsidRDefault="00000000">
      <w:pPr>
        <w:pStyle w:val="ListParagraph"/>
        <w:numPr>
          <w:ilvl w:val="0"/>
          <w:numId w:val="2"/>
        </w:numPr>
        <w:spacing w:after="70" w:line="336" w:lineRule="auto"/>
      </w:pPr>
      <w:r>
        <w:t>Manual attribute feed — property attributes.</w:t>
      </w:r>
    </w:p>
    <w:sectPr w:rsidR="00FD79A8">
      <w:footerReference w:type="default" r:id="rId19"/>
      <w:pgSz w:w="11906" w:h="16838"/>
      <w:pgMar w:top="1584" w:right="1800" w:bottom="1584" w:left="180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3138" w14:textId="77777777" w:rsidR="00233F88" w:rsidRDefault="00233F88">
      <w:r>
        <w:separator/>
      </w:r>
    </w:p>
  </w:endnote>
  <w:endnote w:type="continuationSeparator" w:id="0">
    <w:p w14:paraId="61D32478" w14:textId="77777777" w:rsidR="00233F88" w:rsidRDefault="0023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E699" w14:textId="77777777" w:rsidR="00FD79A8" w:rsidRDefault="00000000">
    <w:pPr>
      <w:pBdr>
        <w:top w:val="single" w:sz="4" w:space="6" w:color="E8E6DC"/>
      </w:pBdr>
      <w:tabs>
        <w:tab w:val="right" w:pos="8306"/>
      </w:tabs>
    </w:pPr>
    <w:r>
      <w:rPr>
        <w:color w:val="5E5D59"/>
        <w:sz w:val="16"/>
        <w:szCs w:val="16"/>
      </w:rPr>
      <w:t>© 2026 Mikyla</w:t>
    </w:r>
    <w:r>
      <w:tab/>
    </w:r>
    <w:r>
      <w:rPr>
        <w:color w:val="5E5D59"/>
        <w:sz w:val="16"/>
        <w:szCs w:val="16"/>
      </w:rPr>
      <w:fldChar w:fldCharType="begin"/>
    </w:r>
    <w:r>
      <w:rPr>
        <w:color w:val="5E5D59"/>
        <w:sz w:val="16"/>
        <w:szCs w:val="16"/>
      </w:rPr>
      <w:instrText>PAGE</w:instrText>
    </w:r>
    <w:r>
      <w:rPr>
        <w:color w:val="5E5D59"/>
        <w:sz w:val="16"/>
        <w:szCs w:val="16"/>
      </w:rPr>
      <w:fldChar w:fldCharType="separate"/>
    </w:r>
    <w:r w:rsidR="004D3B45">
      <w:rPr>
        <w:noProof/>
        <w:color w:val="5E5D59"/>
        <w:sz w:val="16"/>
        <w:szCs w:val="16"/>
      </w:rPr>
      <w:t>1</w:t>
    </w:r>
    <w:r>
      <w:rPr>
        <w:color w:val="5E5D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6AC4" w14:textId="77777777" w:rsidR="00233F88" w:rsidRDefault="00233F88">
      <w:r>
        <w:separator/>
      </w:r>
    </w:p>
  </w:footnote>
  <w:footnote w:type="continuationSeparator" w:id="0">
    <w:p w14:paraId="51DAF5DB" w14:textId="77777777" w:rsidR="00233F88" w:rsidRDefault="0023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C3"/>
    <w:multiLevelType w:val="hybridMultilevel"/>
    <w:tmpl w:val="C2D0521E"/>
    <w:lvl w:ilvl="0" w:tplc="AFC0E33E">
      <w:start w:val="1"/>
      <w:numFmt w:val="bullet"/>
      <w:lvlText w:val="•"/>
      <w:lvlJc w:val="left"/>
      <w:pPr>
        <w:ind w:left="460" w:hanging="260"/>
      </w:pPr>
      <w:rPr>
        <w:color w:val="C6613F"/>
      </w:rPr>
    </w:lvl>
    <w:lvl w:ilvl="1" w:tplc="7E260E96">
      <w:numFmt w:val="decimal"/>
      <w:lvlText w:val=""/>
      <w:lvlJc w:val="left"/>
    </w:lvl>
    <w:lvl w:ilvl="2" w:tplc="EEDCF1E2">
      <w:numFmt w:val="decimal"/>
      <w:lvlText w:val=""/>
      <w:lvlJc w:val="left"/>
    </w:lvl>
    <w:lvl w:ilvl="3" w:tplc="FDC058D6">
      <w:numFmt w:val="decimal"/>
      <w:lvlText w:val=""/>
      <w:lvlJc w:val="left"/>
    </w:lvl>
    <w:lvl w:ilvl="4" w:tplc="6EE82464">
      <w:numFmt w:val="decimal"/>
      <w:lvlText w:val=""/>
      <w:lvlJc w:val="left"/>
    </w:lvl>
    <w:lvl w:ilvl="5" w:tplc="83942D9C">
      <w:numFmt w:val="decimal"/>
      <w:lvlText w:val=""/>
      <w:lvlJc w:val="left"/>
    </w:lvl>
    <w:lvl w:ilvl="6" w:tplc="1E4467D6">
      <w:numFmt w:val="decimal"/>
      <w:lvlText w:val=""/>
      <w:lvlJc w:val="left"/>
    </w:lvl>
    <w:lvl w:ilvl="7" w:tplc="F48E7372">
      <w:numFmt w:val="decimal"/>
      <w:lvlText w:val=""/>
      <w:lvlJc w:val="left"/>
    </w:lvl>
    <w:lvl w:ilvl="8" w:tplc="7FFC7B60">
      <w:numFmt w:val="decimal"/>
      <w:lvlText w:val=""/>
      <w:lvlJc w:val="left"/>
    </w:lvl>
  </w:abstractNum>
  <w:abstractNum w:abstractNumId="1" w15:restartNumberingAfterBreak="0">
    <w:nsid w:val="41661CC3"/>
    <w:multiLevelType w:val="hybridMultilevel"/>
    <w:tmpl w:val="417ECEC8"/>
    <w:lvl w:ilvl="0" w:tplc="7C506748">
      <w:start w:val="1"/>
      <w:numFmt w:val="bullet"/>
      <w:lvlText w:val="●"/>
      <w:lvlJc w:val="left"/>
      <w:pPr>
        <w:ind w:left="720" w:hanging="360"/>
      </w:pPr>
    </w:lvl>
    <w:lvl w:ilvl="1" w:tplc="8C2CDAE8">
      <w:start w:val="1"/>
      <w:numFmt w:val="bullet"/>
      <w:lvlText w:val="○"/>
      <w:lvlJc w:val="left"/>
      <w:pPr>
        <w:ind w:left="1440" w:hanging="360"/>
      </w:pPr>
    </w:lvl>
    <w:lvl w:ilvl="2" w:tplc="8DE88D76">
      <w:start w:val="1"/>
      <w:numFmt w:val="bullet"/>
      <w:lvlText w:val="■"/>
      <w:lvlJc w:val="left"/>
      <w:pPr>
        <w:ind w:left="2160" w:hanging="360"/>
      </w:pPr>
    </w:lvl>
    <w:lvl w:ilvl="3" w:tplc="73504458">
      <w:start w:val="1"/>
      <w:numFmt w:val="bullet"/>
      <w:lvlText w:val="●"/>
      <w:lvlJc w:val="left"/>
      <w:pPr>
        <w:ind w:left="2880" w:hanging="360"/>
      </w:pPr>
    </w:lvl>
    <w:lvl w:ilvl="4" w:tplc="57280282">
      <w:start w:val="1"/>
      <w:numFmt w:val="bullet"/>
      <w:lvlText w:val="○"/>
      <w:lvlJc w:val="left"/>
      <w:pPr>
        <w:ind w:left="3600" w:hanging="360"/>
      </w:pPr>
    </w:lvl>
    <w:lvl w:ilvl="5" w:tplc="81448BBE">
      <w:start w:val="1"/>
      <w:numFmt w:val="bullet"/>
      <w:lvlText w:val="■"/>
      <w:lvlJc w:val="left"/>
      <w:pPr>
        <w:ind w:left="4320" w:hanging="360"/>
      </w:pPr>
    </w:lvl>
    <w:lvl w:ilvl="6" w:tplc="A3161DB8">
      <w:start w:val="1"/>
      <w:numFmt w:val="bullet"/>
      <w:lvlText w:val="●"/>
      <w:lvlJc w:val="left"/>
      <w:pPr>
        <w:ind w:left="5040" w:hanging="360"/>
      </w:pPr>
    </w:lvl>
    <w:lvl w:ilvl="7" w:tplc="6314686A">
      <w:start w:val="1"/>
      <w:numFmt w:val="bullet"/>
      <w:lvlText w:val="●"/>
      <w:lvlJc w:val="left"/>
      <w:pPr>
        <w:ind w:left="5760" w:hanging="360"/>
      </w:pPr>
    </w:lvl>
    <w:lvl w:ilvl="8" w:tplc="12CECDA0">
      <w:start w:val="1"/>
      <w:numFmt w:val="bullet"/>
      <w:lvlText w:val="●"/>
      <w:lvlJc w:val="left"/>
      <w:pPr>
        <w:ind w:left="6480" w:hanging="360"/>
      </w:pPr>
    </w:lvl>
  </w:abstractNum>
  <w:num w:numId="1" w16cid:durableId="1226136824">
    <w:abstractNumId w:val="1"/>
    <w:lvlOverride w:ilvl="0">
      <w:startOverride w:val="1"/>
    </w:lvlOverride>
  </w:num>
  <w:num w:numId="2" w16cid:durableId="2052223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A8"/>
    <w:rsid w:val="00233F88"/>
    <w:rsid w:val="004D3B45"/>
    <w:rsid w:val="00C53B12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0D88"/>
  <w15:docId w15:val="{8F9C6799-A2B9-4B28-9CD3-652694B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strument Sans" w:eastAsia="Instrument Sans" w:hAnsi="Instrument Sans" w:cs="Instrument Sans"/>
        <w:color w:val="141413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3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45"/>
  </w:style>
  <w:style w:type="paragraph" w:styleId="Footer">
    <w:name w:val="footer"/>
    <w:basedOn w:val="Normal"/>
    <w:link w:val="FooterChar"/>
    <w:uiPriority w:val="99"/>
    <w:unhideWhenUsed/>
    <w:rsid w:val="004D3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Appraisal — Unit 25 / 316 Parramatta Road, Burwood NSW 2134</dc:title>
  <dc:creator>DocMark.md</dc:creator>
  <dc:description>Personal (Anthropic Ivory) market appraisal (Valura 0.2.102).</dc:description>
  <cp:lastModifiedBy>ling tao</cp:lastModifiedBy>
  <cp:revision>2</cp:revision>
  <dcterms:created xsi:type="dcterms:W3CDTF">2026-06-18T23:51:00Z</dcterms:created>
  <dcterms:modified xsi:type="dcterms:W3CDTF">2026-06-18T23:54:00Z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d937ff80-ff29-464c-93c3-b0091ace3bcd</vt:lpwstr>
  </property>
</Properties>
</file>